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Abschlusspruefungsbericht 2023 – Auszug (Hauptbericht)</w:t>
      </w:r>
    </w:p>
    <w:p>
      <w:pPr>
        <w:jc w:val="center"/>
      </w:pPr>
      <w:r>
        <w:t>BDO AG WPG, Koeln – Bericht vom 7. Mai 2024</w:t>
      </w:r>
    </w:p>
    <w:p/>
    <w:p>
      <w:pPr>
        <w:pStyle w:val="Heading3"/>
      </w:pPr>
      <w:r>
        <w:t>Mandat</w:t>
      </w:r>
    </w:p>
    <w:p>
      <w:r>
        <w:t>Pruefungsmandat ueber den Jahresabschluss zum 31.12.2023 und den Lagebericht der Halbreiter Maschinenbau GmbH; Pruefung gemaess §§ 316 ff. HGB und unter Beachtung der IDW Prufungsstandards (insbesondere IDW PS 200, 240, 261, 300, 314, 400 sowie 450).</w:t>
      </w:r>
    </w:p>
    <w:p>
      <w:pPr>
        <w:pStyle w:val="Heading3"/>
      </w:pPr>
      <w:r>
        <w:t>Wesentliche Pruefungsfelder</w:t>
      </w:r>
    </w:p>
    <w:p>
      <w:pPr>
        <w:pStyle w:val="ListBullet"/>
      </w:pPr>
      <w:r>
        <w:t>Bewertung der Vorraete (kritisches Pruefungsfeld): Stichprobenpruefung 28 Positionen; Bewertungsabschlaege auf Auslaufmaterial (Pressenlinie PL-300, Halbzeuge Stahl) ueberprueft.</w:t>
      </w:r>
    </w:p>
    <w:p>
      <w:pPr>
        <w:pStyle w:val="ListBullet"/>
      </w:pPr>
      <w:r>
        <w:t>Forderungen aus Lieferungen und Leistungen: Saldenbestaetigungsverfahren bei 12 Schluessel-kunden (TKSE, Bosch Rexroth, Hella, Viessmann, Dürr u. a.); Antwortquote 100 %.</w:t>
      </w:r>
    </w:p>
    <w:p>
      <w:pPr>
        <w:pStyle w:val="ListBullet"/>
      </w:pPr>
      <w:r>
        <w:t>Umsatzrealisierung Sondermaschinenbau: Pruefung Percentage-of-Completion vs. Completed-Contract (Wahlrecht HGB); Methode 'Completed-Contract' wird angewandt.</w:t>
      </w:r>
    </w:p>
    <w:p>
      <w:pPr>
        <w:pStyle w:val="ListBullet"/>
      </w:pPr>
      <w:r>
        <w:t>Pensionsrueckstellungen: Pruefung des versicherungsmathematischen Gutachtens Heubeck AG.</w:t>
      </w:r>
    </w:p>
    <w:p>
      <w:pPr>
        <w:pStyle w:val="ListBullet"/>
      </w:pPr>
      <w:r>
        <w:t>Going-Concern-Pruefung: Cashflow-Forecast 2024-2026 plausibilisiert; keine Risiken erkennbar.</w:t>
      </w:r>
    </w:p>
    <w:p>
      <w:pPr>
        <w:pStyle w:val="ListBullet"/>
      </w:pPr>
      <w:r>
        <w:t>Interne Kontrollsystem: Walkthrough auf Order-to-Cash und Purchase-to-Pay; gesonderter Management Letter zur Verbesserung der Funktionstrennung im Bestellprozess.</w:t>
      </w:r>
    </w:p>
    <w:p>
      <w:pPr>
        <w:pStyle w:val="Heading3"/>
      </w:pPr>
      <w:r>
        <w:t>Bestaetigungsvermerk</w:t>
      </w:r>
    </w:p>
    <w:p>
      <w:r>
        <w:t>Der Bestaetigungsvermerk wurde uneingeschraenkt erteilt: 'Nach unserer Beurteilung aufgrund der bei der Pruefung gewonnenen Erkenntnisse vermittelt der Jahresabschluss in Uebereinstimmung mit den deutschen handelsrechtlichen Vorschriften ein den tatsaechlichen Verhaeltnissen entsprechendes Bild der Vermoegens-, Finanz- und Ertragslage der Gesellschaft.'</w:t>
      </w:r>
    </w:p>
    <w:p>
      <w:pPr>
        <w:pStyle w:val="Heading3"/>
      </w:pPr>
      <w:r>
        <w:t>Risikohinweise</w:t>
      </w:r>
    </w:p>
    <w:p>
      <w:r>
        <w:t>Wesentliche Risiken: (a) Materialverfuegbarkeit elektronischer Komponenten und Antriebs-elektronik; (b) Kundenkonzentration (Top-5 Kunden 62 % vom Umsatz); (c) Energiepreis-schwankungen (PV-Aufdachanlage Q4/2023 reduziert Risiko partiell).</w:t>
      </w:r>
    </w:p>
    <w:p>
      <w:pPr>
        <w:pStyle w:val="Heading3"/>
      </w:pPr>
      <w:r>
        <w:t>Empfehlungen</w:t>
      </w:r>
    </w:p>
    <w:p>
      <w:r>
        <w:t>Die Wirtschaftspruefung empfiehlt: (a) Staerkere Funktionstrennung im Bestellwesen (separater Freigeber &gt; 250 TEUR); (b) Einfuehrung formaler Quartalsreviews der Working-Capital-Kennzahlen; (c) Aufnahme einer Cyber-Risiko-Position im Risikoregister (in Umsetzung).</w:t>
      </w:r>
    </w:p>
    <w:p>
      <w:pPr>
        <w:pStyle w:val="Heading3"/>
      </w:pPr>
      <w:r>
        <w:t>Unterzeichnung</w:t>
      </w:r>
    </w:p>
    <w:p>
      <w:r>
        <w:t>WP/StB Dr. Michael Erbach (Partner), WP Andreas Goebel (Senior Manager). Koeln, den 7. Mai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