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Bankbuergschaft – Deutsche Bank AG zugunsten ThyssenKrupp Steel Europe AG</w:t>
      </w:r>
    </w:p>
    <w:p>
      <w:pPr>
        <w:jc w:val="center"/>
      </w:pPr>
      <w:r>
        <w:t>Buergschaftsurkunde Nr. DB-MMB-2023-VEM-022 vom 8. September 2023</w:t>
      </w:r>
    </w:p>
    <w:p/>
    <w:p>
      <w:pPr>
        <w:pStyle w:val="Heading3"/>
      </w:pPr>
      <w:r>
        <w:t>Buergin</w:t>
      </w:r>
    </w:p>
    <w:p>
      <w:r>
        <w:t>Deutsche Bank AG, Filiale Koeln, Unter Sachsenhausen 17, 50667 Koeln.</w:t>
      </w:r>
    </w:p>
    <w:p>
      <w:pPr>
        <w:pStyle w:val="Heading3"/>
      </w:pPr>
      <w:r>
        <w:t>Beguenstigte</w:t>
      </w:r>
    </w:p>
    <w:p>
      <w:r>
        <w:t>ThyssenKrupp Steel Europe AG, Kaiser-Wilhelm-Strasse 100, 47166 Duisburg.</w:t>
      </w:r>
    </w:p>
    <w:p>
      <w:pPr>
        <w:pStyle w:val="Heading3"/>
      </w:pPr>
      <w:r>
        <w:t>Hauptverbindlichkeit</w:t>
      </w:r>
    </w:p>
    <w:p>
      <w:r>
        <w:t>Vertrag Nr. TKSE-MMB-2023-PL500-007 ueber Lieferung und Montage einer Pressenlinie PL-500 (Auftragsvolumen 3,8 Mio. EUR) im Werk Duisburg-Hamborn, Werkstor 7, Halle A41. Lieferzeitpunkt: Inbetriebnahme bis 30. April 2024. Gewaehrleistungszeit: 24 Monate ab Inbetriebnahme.</w:t>
      </w:r>
    </w:p>
    <w:p>
      <w:pPr>
        <w:pStyle w:val="Heading3"/>
      </w:pPr>
      <w:r>
        <w:t>Buergschaftsumme und Art</w:t>
      </w:r>
    </w:p>
    <w:p>
      <w:r>
        <w:t>Vertragserfuellungsbuergschaft (Performance Bond) in Hoehe von 380.000 EUR (10 % des Vertragspreises) bis Inbetriebnahme; sodann Umwandlung in Gewaehrleistungsbuergschaft in Hoehe von 190.000 EUR (5 %) fuer die 24-monatige Gewaehrleistungsphase.</w:t>
      </w:r>
    </w:p>
    <w:p>
      <w:pPr>
        <w:pStyle w:val="Heading3"/>
      </w:pPr>
      <w:r>
        <w:t>Zahlungsmodalitaet</w:t>
      </w:r>
    </w:p>
    <w:p>
      <w:r>
        <w:t>Selbstschuldnerische Buergschaft auf erstes Anfordern unter Verzicht auf die Einreden der Vorausklage (§ 771 BGB), der Aufrechenbarkeit (§ 770 Abs. 2 BGB) und der Anfechtbarkeit (§ 770 Abs. 1 BGB).</w:t>
      </w:r>
    </w:p>
    <w:p>
      <w:pPr>
        <w:pStyle w:val="Heading3"/>
      </w:pPr>
      <w:r>
        <w:t>Avalprovision</w:t>
      </w:r>
    </w:p>
    <w:p>
      <w:r>
        <w:t>1,1 % p. a., berechnet auf die jeweils gueltige Buergschaftssumme; Mindestprovision 250 EUR pro Quartal. Anrechnung auf die Aval-Linie 3,5 Mio. EUR (Stand: ausgeschoepft 2,2 Mio. EUR).</w:t>
      </w:r>
    </w:p>
    <w:p>
      <w:pPr>
        <w:pStyle w:val="Heading3"/>
      </w:pPr>
      <w:r>
        <w:t>Geltungsdauer</w:t>
      </w:r>
    </w:p>
    <w:p>
      <w:r>
        <w:t>Bis Bauzeitende plus Gewaehrleistung, spaetestens 30. April 2026. Rueckgabe der Buergschafts-urkunde im Original durch den Beguenstigten ist Voraussetzung fuer die Befreiung.</w:t>
      </w:r>
    </w:p>
    <w:p>
      <w:pPr>
        <w:pStyle w:val="Heading3"/>
      </w:pPr>
      <w:r>
        <w:t>Unterschriften</w:t>
      </w:r>
    </w:p>
    <w:p>
      <w:r>
        <w:t>Ort, Datum: Koeln, den 8. September 2023</w:t>
      </w:r>
    </w:p>
    <w:p>
      <w:r>
        <w:t>_________________________            _________________________</w:t>
        <w:br/>
        <w:t>Dr. Friedhelm Stuetzel                          Sandra Becker</w:t>
        <w:br/>
        <w:t>Senior Account Manager                          Geschaeftsfuehrerin</w:t>
        <w:br/>
        <w:t>Deutsche Bank AG                       Halbreiter Maschinenbau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