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Betriebswirtschaftliche Auswertung (BWA) – Dezember 2021</w:t>
      </w:r>
    </w:p>
    <w:p>
      <w:pPr>
        <w:jc w:val="center"/>
      </w:pPr>
      <w:r>
        <w:t>Kurzfassung – ausgelagerte Detailauswertung siehe FIN_BWA_2021_12_Dez.xlsx</w:t>
      </w:r>
    </w:p>
    <w:p/>
    <w:p>
      <w:pPr>
        <w:pStyle w:val="Heading3"/>
      </w:pPr>
      <w:r>
        <w:t>Hinweis</w:t>
      </w:r>
    </w:p>
    <w:p>
      <w:r>
        <w:t>Diese Datei stellt die Begleitnotiz zur monatlichen BWA Dezember 2021 dar. Die vollstaendige Aufstellung mit Konten- und Kostenstellenstruktur befindet sich in der dazugehoerigen Excel-Datei FIN_BWA_2021_12_Dez.xlsx (DATEV-Export, Mandantennr. 47312).</w:t>
      </w:r>
    </w:p>
    <w:p>
      <w:pPr>
        <w:pStyle w:val="Heading3"/>
      </w:pPr>
      <w:r>
        <w:t>1. Eckzahlen Dezember 2021 (Monatswerte)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Dez 2021</w:t>
            </w:r>
          </w:p>
        </w:tc>
        <w:tc>
          <w:tcPr>
            <w:tcW w:type="dxa" w:w="1728"/>
          </w:tcPr>
          <w:p>
            <w:r>
              <w:t>Plan Dez 2021</w:t>
            </w:r>
          </w:p>
        </w:tc>
        <w:tc>
          <w:tcPr>
            <w:tcW w:type="dxa" w:w="1728"/>
          </w:tcPr>
          <w:p>
            <w:r>
              <w:t>Abweichung</w:t>
            </w:r>
          </w:p>
        </w:tc>
        <w:tc>
          <w:tcPr>
            <w:tcW w:type="dxa" w:w="1728"/>
          </w:tcPr>
          <w:p>
            <w:r>
              <w:t>kum. 2021</w:t>
            </w:r>
          </w:p>
        </w:tc>
      </w:tr>
      <w:tr>
        <w:tc>
          <w:tcPr>
            <w:tcW w:type="dxa" w:w="1728"/>
          </w:tcPr>
          <w:p>
            <w:r>
              <w:t>Umsatzerloese</w:t>
            </w:r>
          </w:p>
        </w:tc>
        <w:tc>
          <w:tcPr>
            <w:tcW w:type="dxa" w:w="1728"/>
          </w:tcPr>
          <w:p>
            <w:r>
              <w:t>3.812.000 EUR</w:t>
            </w:r>
          </w:p>
        </w:tc>
        <w:tc>
          <w:tcPr>
            <w:tcW w:type="dxa" w:w="1728"/>
          </w:tcPr>
          <w:p>
            <w:r>
              <w:t>3.500.000 EUR</w:t>
            </w:r>
          </w:p>
        </w:tc>
        <w:tc>
          <w:tcPr>
            <w:tcW w:type="dxa" w:w="1728"/>
          </w:tcPr>
          <w:p>
            <w:r>
              <w:t>+8,9 %</w:t>
            </w:r>
          </w:p>
        </w:tc>
        <w:tc>
          <w:tcPr>
            <w:tcW w:type="dxa" w:w="1728"/>
          </w:tcPr>
          <w:p>
            <w:r>
              <w:t>41.900.000 EUR</w:t>
            </w:r>
          </w:p>
        </w:tc>
      </w:tr>
      <w:tr>
        <w:tc>
          <w:tcPr>
            <w:tcW w:type="dxa" w:w="1728"/>
          </w:tcPr>
          <w:p>
            <w:r>
              <w:t>Materialaufwand</w:t>
            </w:r>
          </w:p>
        </w:tc>
        <w:tc>
          <w:tcPr>
            <w:tcW w:type="dxa" w:w="1728"/>
          </w:tcPr>
          <w:p>
            <w:r>
              <w:t>1.910.000 EUR</w:t>
            </w:r>
          </w:p>
        </w:tc>
        <w:tc>
          <w:tcPr>
            <w:tcW w:type="dxa" w:w="1728"/>
          </w:tcPr>
          <w:p>
            <w:r>
              <w:t>1.820.000 EUR</w:t>
            </w:r>
          </w:p>
        </w:tc>
        <w:tc>
          <w:tcPr>
            <w:tcW w:type="dxa" w:w="1728"/>
          </w:tcPr>
          <w:p>
            <w:r>
              <w:t>+4,9 %</w:t>
            </w:r>
          </w:p>
        </w:tc>
        <w:tc>
          <w:tcPr>
            <w:tcW w:type="dxa" w:w="1728"/>
          </w:tcPr>
          <w:p>
            <w:r>
              <w:t>21.700.000 EUR</w:t>
            </w:r>
          </w:p>
        </w:tc>
      </w:tr>
      <w:tr>
        <w:tc>
          <w:tcPr>
            <w:tcW w:type="dxa" w:w="1728"/>
          </w:tcPr>
          <w:p>
            <w:r>
              <w:t>Personalaufwand</w:t>
            </w:r>
          </w:p>
        </w:tc>
        <w:tc>
          <w:tcPr>
            <w:tcW w:type="dxa" w:w="1728"/>
          </w:tcPr>
          <w:p>
            <w:r>
              <w:t>1.156.000 EUR</w:t>
            </w:r>
          </w:p>
        </w:tc>
        <w:tc>
          <w:tcPr>
            <w:tcW w:type="dxa" w:w="1728"/>
          </w:tcPr>
          <w:p>
            <w:r>
              <w:t>1.150.000 EUR</w:t>
            </w:r>
          </w:p>
        </w:tc>
        <w:tc>
          <w:tcPr>
            <w:tcW w:type="dxa" w:w="1728"/>
          </w:tcPr>
          <w:p>
            <w:r>
              <w:t>+0,5 %</w:t>
            </w:r>
          </w:p>
        </w:tc>
        <w:tc>
          <w:tcPr>
            <w:tcW w:type="dxa" w:w="1728"/>
          </w:tcPr>
          <w:p>
            <w:r>
              <w:t>13.580.000 EUR</w:t>
            </w:r>
          </w:p>
        </w:tc>
      </w:tr>
      <w:tr>
        <w:tc>
          <w:tcPr>
            <w:tcW w:type="dxa" w:w="1728"/>
          </w:tcPr>
          <w:p>
            <w:r>
              <w:t>Sonst. betr. Aufwand</w:t>
            </w:r>
          </w:p>
        </w:tc>
        <w:tc>
          <w:tcPr>
            <w:tcW w:type="dxa" w:w="1728"/>
          </w:tcPr>
          <w:p>
            <w:r>
              <w:t>287.000 EUR</w:t>
            </w:r>
          </w:p>
        </w:tc>
        <w:tc>
          <w:tcPr>
            <w:tcW w:type="dxa" w:w="1728"/>
          </w:tcPr>
          <w:p>
            <w:r>
              <w:t>275.000 EUR</w:t>
            </w:r>
          </w:p>
        </w:tc>
        <w:tc>
          <w:tcPr>
            <w:tcW w:type="dxa" w:w="1728"/>
          </w:tcPr>
          <w:p>
            <w:r>
              <w:t>+4,4 %</w:t>
            </w:r>
          </w:p>
        </w:tc>
        <w:tc>
          <w:tcPr>
            <w:tcW w:type="dxa" w:w="1728"/>
          </w:tcPr>
          <w:p>
            <w:r>
              <w:t>3.420.000 EUR</w:t>
            </w:r>
          </w:p>
        </w:tc>
      </w:tr>
      <w:tr>
        <w:tc>
          <w:tcPr>
            <w:tcW w:type="dxa" w:w="1728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459.000 EUR</w:t>
            </w:r>
          </w:p>
        </w:tc>
        <w:tc>
          <w:tcPr>
            <w:tcW w:type="dxa" w:w="1728"/>
          </w:tcPr>
          <w:p>
            <w:r>
              <w:t>255.000 EUR</w:t>
            </w:r>
          </w:p>
        </w:tc>
        <w:tc>
          <w:tcPr>
            <w:tcW w:type="dxa" w:w="1728"/>
          </w:tcPr>
          <w:p>
            <w:r>
              <w:t>+80,0 %</w:t>
            </w:r>
          </w:p>
        </w:tc>
        <w:tc>
          <w:tcPr>
            <w:tcW w:type="dxa" w:w="1728"/>
          </w:tcPr>
          <w:p>
            <w:r>
              <w:t>4.800.000 EUR</w:t>
            </w:r>
          </w:p>
        </w:tc>
      </w:tr>
      <w:tr>
        <w:tc>
          <w:tcPr>
            <w:tcW w:type="dxa" w:w="1728"/>
          </w:tcPr>
          <w:p>
            <w:r>
              <w:t>AfA</w:t>
            </w:r>
          </w:p>
        </w:tc>
        <w:tc>
          <w:tcPr>
            <w:tcW w:type="dxa" w:w="1728"/>
          </w:tcPr>
          <w:p>
            <w:r>
              <w:t>152.000 EUR</w:t>
            </w:r>
          </w:p>
        </w:tc>
        <w:tc>
          <w:tcPr>
            <w:tcW w:type="dxa" w:w="1728"/>
          </w:tcPr>
          <w:p>
            <w:r>
              <w:t>150.000 EUR</w:t>
            </w:r>
          </w:p>
        </w:tc>
        <w:tc>
          <w:tcPr>
            <w:tcW w:type="dxa" w:w="1728"/>
          </w:tcPr>
          <w:p>
            <w:r>
              <w:t>+1,3 %</w:t>
            </w:r>
          </w:p>
        </w:tc>
        <w:tc>
          <w:tcPr>
            <w:tcW w:type="dxa" w:w="1728"/>
          </w:tcPr>
          <w:p>
            <w:r>
              <w:t>1.850.000 EUR</w:t>
            </w:r>
          </w:p>
        </w:tc>
      </w:tr>
      <w:tr>
        <w:tc>
          <w:tcPr>
            <w:tcW w:type="dxa" w:w="1728"/>
          </w:tcPr>
          <w:p>
            <w:r>
              <w:t>EBIT</w:t>
            </w:r>
          </w:p>
        </w:tc>
        <w:tc>
          <w:tcPr>
            <w:tcW w:type="dxa" w:w="1728"/>
          </w:tcPr>
          <w:p>
            <w:r>
              <w:t>307.000 EUR</w:t>
            </w:r>
          </w:p>
        </w:tc>
        <w:tc>
          <w:tcPr>
            <w:tcW w:type="dxa" w:w="1728"/>
          </w:tcPr>
          <w:p>
            <w:r>
              <w:t>105.000 EUR</w:t>
            </w:r>
          </w:p>
        </w:tc>
        <w:tc>
          <w:tcPr>
            <w:tcW w:type="dxa" w:w="1728"/>
          </w:tcPr>
          <w:p>
            <w:r>
              <w:t>+192,4 %</w:t>
            </w:r>
          </w:p>
        </w:tc>
        <w:tc>
          <w:tcPr>
            <w:tcW w:type="dxa" w:w="1728"/>
          </w:tcPr>
          <w:p>
            <w:r>
              <w:t>2.950.000 EUR</w:t>
            </w:r>
          </w:p>
        </w:tc>
      </w:tr>
      <w:tr>
        <w:tc>
          <w:tcPr>
            <w:tcW w:type="dxa" w:w="1728"/>
          </w:tcPr>
          <w:p>
            <w:r>
              <w:t>Zinsergebnis</w:t>
            </w:r>
          </w:p>
        </w:tc>
        <w:tc>
          <w:tcPr>
            <w:tcW w:type="dxa" w:w="1728"/>
          </w:tcPr>
          <w:p>
            <w:r>
              <w:t>-22.000 EUR</w:t>
            </w:r>
          </w:p>
        </w:tc>
        <w:tc>
          <w:tcPr>
            <w:tcW w:type="dxa" w:w="1728"/>
          </w:tcPr>
          <w:p>
            <w:r>
              <w:t>-25.000 EUR</w:t>
            </w:r>
          </w:p>
        </w:tc>
        <w:tc>
          <w:tcPr>
            <w:tcW w:type="dxa" w:w="1728"/>
          </w:tcPr>
          <w:p>
            <w:r>
              <w:t>+12,0 %</w:t>
            </w:r>
          </w:p>
        </w:tc>
        <w:tc>
          <w:tcPr>
            <w:tcW w:type="dxa" w:w="1728"/>
          </w:tcPr>
          <w:p>
            <w:r>
              <w:t>-260.000 EUR</w:t>
            </w:r>
          </w:p>
        </w:tc>
      </w:tr>
      <w:tr>
        <w:tc>
          <w:tcPr>
            <w:tcW w:type="dxa" w:w="1728"/>
          </w:tcPr>
          <w:p>
            <w:r>
              <w:t>Ergebnis vor Steuern</w:t>
            </w:r>
          </w:p>
        </w:tc>
        <w:tc>
          <w:tcPr>
            <w:tcW w:type="dxa" w:w="1728"/>
          </w:tcPr>
          <w:p>
            <w:r>
              <w:t>285.000 EUR</w:t>
            </w:r>
          </w:p>
        </w:tc>
        <w:tc>
          <w:tcPr>
            <w:tcW w:type="dxa" w:w="1728"/>
          </w:tcPr>
          <w:p>
            <w:r>
              <w:t>80.000 EUR</w:t>
            </w:r>
          </w:p>
        </w:tc>
        <w:tc>
          <w:tcPr>
            <w:tcW w:type="dxa" w:w="1728"/>
          </w:tcPr>
          <w:p>
            <w:r>
              <w:t>+256,3 %</w:t>
            </w:r>
          </w:p>
        </w:tc>
        <w:tc>
          <w:tcPr>
            <w:tcW w:type="dxa" w:w="1728"/>
          </w:tcPr>
          <w:p>
            <w:r>
              <w:t>2.690.000 EUR</w:t>
            </w:r>
          </w:p>
        </w:tc>
      </w:tr>
    </w:tbl>
    <w:p>
      <w:pPr>
        <w:pStyle w:val="Heading3"/>
      </w:pPr>
      <w:r>
        <w:t>2. Kommentar Finanzleitung (Sandra Becker)</w:t>
      </w:r>
    </w:p>
    <w:p>
      <w:r>
        <w:t>Der Dezember verzeichnet erwartungsgemaess einen hohen Auslieferungsschub fuer die Auftraege Bosch Rexroth AG (Pressenlinie PL-500, 1,2 Mio. EUR) und Dürr AG (Foerderbandanlage FB-200 Linie 2, 0,8 Mio. EUR). Materialaufwand leicht ueber Plan aufgrund Sondereinkauf Wolfram-Komponenten (Lieferengpass Trumpf SE + Co. KG). Personalaufwand weitgehend planmaessig.</w:t>
      </w:r>
    </w:p>
    <w:p>
      <w:r>
        <w:t>Liquiditaet zum 31.12.2021: Bestand auf Geschaeftskonto Deutsche Bank AG 4,21 Mio. EUR; Kontokorrentlinie 5,0 Mio. EUR unbeansprucht. Forderungen aus L+L: 7,82 Mio. EUR (DSO 58 Tage, Vorjahr 61 Tage). Wertberichtigungen: 95.000 EUR (Pauschal 1 %).</w:t>
      </w:r>
    </w:p>
    <w:p>
      <w:pPr>
        <w:pStyle w:val="Heading3"/>
      </w:pPr>
      <w:r>
        <w:t>3. Anlagen</w:t>
      </w:r>
    </w:p>
    <w:p>
      <w:r>
        <w:t>Anlage 1: BWA-Excel DATEV-Export (FIN_BWA_2021_12_Dez.xlsx)</w:t>
      </w:r>
    </w:p>
    <w:p>
      <w:r>
        <w:t>Anlage 2: Forderungsstrukturliste 31.12.2021</w:t>
      </w:r>
    </w:p>
    <w:p>
      <w:r>
        <w:t>Anlage 3: Liquiditaetsplan Q1/2022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