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Devisensicherung 2024 – Rahmenvereinbarung Forwards EUR/USD und EUR/MXN</w:t>
      </w:r>
    </w:p>
    <w:p>
      <w:pPr>
        <w:jc w:val="center"/>
      </w:pPr>
      <w:r>
        <w:t>Vereinbarung mit Deutsche Bank AG (FX-Desk Frankfurt), Stand 14. Maerz 2024</w:t>
      </w:r>
    </w:p>
    <w:p/>
    <w:p>
      <w:pPr>
        <w:pStyle w:val="Heading3"/>
      </w:pPr>
      <w:r>
        <w:t>Hintergrund</w:t>
      </w:r>
    </w:p>
    <w:p>
      <w:r>
        <w:t>Die Halbreiter Maschinenbau GmbH erzielt rund 18 % ihrer Umsaetze 2024 in Fremdwaehrung (11 % USD, 5 % MXN, 2 % CHF). Die Geschaeftsfuehrung verfolgt eine konservative Hedging-Strategie: 100 % der Fremdwaehrungs-Forderungen werden zum Zeitpunkt der Auftragsbestaetigung ueber Devisentermingeschaefte abgesichert (Microhedge). Spekulative Geschaefte sind gemaess Treasury-Richtlinie ausdruecklich verboten.</w:t>
      </w:r>
    </w:p>
    <w:p>
      <w:pPr>
        <w:pStyle w:val="Heading3"/>
      </w:pPr>
      <w:r>
        <w:t>Eingesetzte Instrumente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Volumen 2024 (geplant)</w:t>
            </w:r>
          </w:p>
        </w:tc>
        <w:tc>
          <w:tcPr>
            <w:tcW w:type="dxa" w:w="2160"/>
          </w:tcPr>
          <w:p>
            <w:r>
              <w:t>Sicherungsquote</w:t>
            </w:r>
          </w:p>
        </w:tc>
        <w:tc>
          <w:tcPr>
            <w:tcW w:type="dxa" w:w="2160"/>
          </w:tcPr>
          <w:p>
            <w:r>
              <w:t>Anwendung</w:t>
            </w:r>
          </w:p>
        </w:tc>
      </w:tr>
      <w:tr>
        <w:tc>
          <w:tcPr>
            <w:tcW w:type="dxa" w:w="2160"/>
          </w:tcPr>
          <w:p>
            <w:r>
              <w:t>Devisentermingeschaeft EUR/USD</w:t>
            </w:r>
          </w:p>
        </w:tc>
        <w:tc>
          <w:tcPr>
            <w:tcW w:type="dxa" w:w="2160"/>
          </w:tcPr>
          <w:p>
            <w:r>
              <w:t>5,8 Mio. USD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Dürr AG Werk Queretaro, Mexiko (Anzahlungen in USD)</w:t>
            </w:r>
          </w:p>
        </w:tc>
      </w:tr>
      <w:tr>
        <w:tc>
          <w:tcPr>
            <w:tcW w:type="dxa" w:w="2160"/>
          </w:tcPr>
          <w:p>
            <w:r>
              <w:t>Devisentermingeschaeft EUR/MXN</w:t>
            </w:r>
          </w:p>
        </w:tc>
        <w:tc>
          <w:tcPr>
            <w:tcW w:type="dxa" w:w="2160"/>
          </w:tcPr>
          <w:p>
            <w:r>
              <w:t>44 Mio. MXN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Endrate Mexiko (Liefertranchen 2024)</w:t>
            </w:r>
          </w:p>
        </w:tc>
      </w:tr>
      <w:tr>
        <w:tc>
          <w:tcPr>
            <w:tcW w:type="dxa" w:w="2160"/>
          </w:tcPr>
          <w:p>
            <w:r>
              <w:t>FX-Swap EUR/CHF</w:t>
            </w:r>
          </w:p>
        </w:tc>
        <w:tc>
          <w:tcPr>
            <w:tcW w:type="dxa" w:w="2160"/>
          </w:tcPr>
          <w:p>
            <w:r>
              <w:t>1,2 Mio. CHF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Schweizer Lieferanten (Sensirion AG)</w:t>
            </w:r>
          </w:p>
        </w:tc>
      </w:tr>
    </w:tbl>
    <w:p>
      <w:pPr>
        <w:pStyle w:val="Heading3"/>
      </w:pPr>
      <w:r>
        <w:t>Konditionen</w:t>
      </w:r>
    </w:p>
    <w:p>
      <w:r>
        <w:t>Spread Marge gegenueber dem Mid-Rate: 8 Basispunkte (EUR/USD), 25 Basispunkte (EUR/MXN), 12 Basispunkte (EUR/CHF). Mindest-Tranchenvolumen pro Geschaeft 100.000 EUR-Aequivalent. Abwicklung Spot-Settlement T+2 oder T+30 bis T+360 (je nach Auftragslaufzeit). Counterparty-Risiko: Deutsche Bank AG (Rating A bei S&amp;P).</w:t>
      </w:r>
    </w:p>
    <w:p>
      <w:pPr>
        <w:pStyle w:val="Heading3"/>
      </w:pPr>
      <w:r>
        <w:t>Bilanzierung</w:t>
      </w:r>
    </w:p>
    <w:p>
      <w:r>
        <w:t>Sicherungsbeziehungen werden gemaess § 254 HGB bilanziell zusammengefasst (Bewertungseinheit). Eine ineffective Portion wird – soweit relevant – im sonstigen betrieblichen Ergebnis erfasst. Bewertungsstichtag 31.12. Marktwerte der offenen Positionen werden im Anhang erlaeutert.</w:t>
      </w:r>
    </w:p>
    <w:p>
      <w:pPr>
        <w:pStyle w:val="Heading3"/>
      </w:pPr>
      <w:r>
        <w:t>Verantwortlich</w:t>
      </w:r>
    </w:p>
    <w:p>
      <w:r>
        <w:t>Sandra Becker (CFO), Markus Helmer (Treasury / Sub-Ledger). Quartalsweises Reporting an die Geschaeftsfuehrung; Limit-Ueberwachung erfolgt im SAP TRM-Modul.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