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Gewinnverteilungsplan – Geschaeftsjahr 2023</w:t>
      </w:r>
    </w:p>
    <w:p>
      <w:pPr>
        <w:jc w:val="center"/>
      </w:pPr>
      <w:r>
        <w:t>Vorlage zur Beschlussfassung in der Gesellschafterversammlung 2024</w:t>
      </w:r>
    </w:p>
    <w:p/>
    <w:p>
      <w:pPr>
        <w:pStyle w:val="Heading3"/>
      </w:pPr>
      <w:r>
        <w:t>Ausgangswerte</w:t>
      </w:r>
    </w:p>
    <w:p>
      <w:r>
        <w:t>Jahresueberschuss 2023 nach HGB: 2.730.000,00 EUR (testiert durch BDO AG WPG, Bestaetigungsvermerk vom 7. Mai 2024). Gewinnvortrag aus 2022: 240.000,00 EUR. Verfuegbarer Bilanzgewinn 2023: 2.970.000,00 EUR.</w:t>
      </w:r>
    </w:p>
    <w:p>
      <w:pPr>
        <w:pStyle w:val="Heading3"/>
      </w:pPr>
      <w:r>
        <w:t>Vorschlag der Geschaeftsfuehrung</w:t>
      </w:r>
    </w:p>
    <w:tbl>
      <w:tblPr>
        <w:tblStyle w:val="TableGrid"/>
        <w:tblW w:type="auto" w:w="0"/>
        <w:tblLook w:firstColumn="1" w:firstRow="1" w:lastColumn="0" w:lastRow="0" w:noHBand="0" w:noVBand="1" w:val="04A0"/>
      </w:tblPr>
      <w:tblGrid>
        <w:gridCol w:w="2880"/>
        <w:gridCol w:w="2880"/>
        <w:gridCol w:w="2880"/>
      </w:tblGrid>
      <w:tr>
        <w:tc>
          <w:tcPr>
            <w:tcW w:type="dxa" w:w="2880"/>
          </w:tcPr>
          <w:p>
            <w:r>
              <w:t>Verwendung</w:t>
            </w:r>
          </w:p>
        </w:tc>
        <w:tc>
          <w:tcPr>
            <w:tcW w:type="dxa" w:w="2880"/>
          </w:tcPr>
          <w:p>
            <w:r>
              <w:t>Betrag EUR</w:t>
            </w:r>
          </w:p>
        </w:tc>
        <w:tc>
          <w:tcPr>
            <w:tcW w:type="dxa" w:w="2880"/>
          </w:tcPr>
          <w:p>
            <w:r>
              <w:t>Anteil</w:t>
            </w:r>
          </w:p>
        </w:tc>
      </w:tr>
      <w:tr>
        <w:tc>
          <w:tcPr>
            <w:tcW w:type="dxa" w:w="2880"/>
          </w:tcPr>
          <w:p>
            <w:r>
              <w:t>Einstellung in andere Gewinnruecklagen</w:t>
            </w:r>
          </w:p>
        </w:tc>
        <w:tc>
          <w:tcPr>
            <w:tcW w:type="dxa" w:w="2880"/>
          </w:tcPr>
          <w:p>
            <w:r>
              <w:t>1.770.000,00</w:t>
            </w:r>
          </w:p>
        </w:tc>
        <w:tc>
          <w:tcPr>
            <w:tcW w:type="dxa" w:w="2880"/>
          </w:tcPr>
          <w:p>
            <w:r>
              <w:t>59,6 %</w:t>
            </w:r>
          </w:p>
        </w:tc>
      </w:tr>
      <w:tr>
        <w:tc>
          <w:tcPr>
            <w:tcW w:type="dxa" w:w="2880"/>
          </w:tcPr>
          <w:p>
            <w:r>
              <w:t>Ausschuettung an Gesellschafter</w:t>
            </w:r>
          </w:p>
        </w:tc>
        <w:tc>
          <w:tcPr>
            <w:tcW w:type="dxa" w:w="2880"/>
          </w:tcPr>
          <w:p>
            <w:r>
              <w:t>1.100.000,00</w:t>
            </w:r>
          </w:p>
        </w:tc>
        <w:tc>
          <w:tcPr>
            <w:tcW w:type="dxa" w:w="2880"/>
          </w:tcPr>
          <w:p>
            <w:r>
              <w:t>37,0 %</w:t>
            </w:r>
          </w:p>
        </w:tc>
      </w:tr>
      <w:tr>
        <w:tc>
          <w:tcPr>
            <w:tcW w:type="dxa" w:w="2880"/>
          </w:tcPr>
          <w:p>
            <w:r>
              <w:t>Vortrag auf neue Rechnung</w:t>
            </w:r>
          </w:p>
        </w:tc>
        <w:tc>
          <w:tcPr>
            <w:tcW w:type="dxa" w:w="2880"/>
          </w:tcPr>
          <w:p>
            <w:r>
              <w:t>100.000,00</w:t>
            </w:r>
          </w:p>
        </w:tc>
        <w:tc>
          <w:tcPr>
            <w:tcW w:type="dxa" w:w="2880"/>
          </w:tcPr>
          <w:p>
            <w:r>
              <w:t>3,4 %</w:t>
            </w:r>
          </w:p>
        </w:tc>
      </w:tr>
      <w:tr>
        <w:tc>
          <w:tcPr>
            <w:tcW w:type="dxa" w:w="2880"/>
          </w:tcPr>
          <w:p>
            <w:r>
              <w:t>SUMME</w:t>
            </w:r>
          </w:p>
        </w:tc>
        <w:tc>
          <w:tcPr>
            <w:tcW w:type="dxa" w:w="2880"/>
          </w:tcPr>
          <w:p>
            <w:r>
              <w:t>2.970.000,00</w:t>
            </w:r>
          </w:p>
        </w:tc>
        <w:tc>
          <w:tcPr>
            <w:tcW w:type="dxa" w:w="2880"/>
          </w:tcPr>
          <w:p>
            <w:r>
              <w:t>100,0 %</w:t>
            </w:r>
          </w:p>
        </w:tc>
      </w:tr>
    </w:tbl>
    <w:p>
      <w:pPr>
        <w:pStyle w:val="Heading3"/>
      </w:pPr>
      <w:r>
        <w:t>Aufteilung der Ausschuettung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Gesellschafter</w:t>
            </w:r>
          </w:p>
        </w:tc>
        <w:tc>
          <w:tcPr>
            <w:tcW w:type="dxa" w:w="1440"/>
          </w:tcPr>
          <w:p>
            <w:r>
              <w:t>Anteil</w:t>
            </w:r>
          </w:p>
        </w:tc>
        <w:tc>
          <w:tcPr>
            <w:tcW w:type="dxa" w:w="1440"/>
          </w:tcPr>
          <w:p>
            <w:r>
              <w:t>Ausschuettung EUR</w:t>
            </w:r>
          </w:p>
        </w:tc>
        <w:tc>
          <w:tcPr>
            <w:tcW w:type="dxa" w:w="1440"/>
          </w:tcPr>
          <w:p>
            <w:r>
              <w:t>KapErtrSt 25 %</w:t>
            </w:r>
          </w:p>
        </w:tc>
        <w:tc>
          <w:tcPr>
            <w:tcW w:type="dxa" w:w="1440"/>
          </w:tcPr>
          <w:p>
            <w:r>
              <w:t>SolZ 5,5 %</w:t>
            </w:r>
          </w:p>
        </w:tc>
        <w:tc>
          <w:tcPr>
            <w:tcW w:type="dxa" w:w="1440"/>
          </w:tcPr>
          <w:p>
            <w:r>
              <w:t>Auszahlung netto</w:t>
            </w:r>
          </w:p>
        </w:tc>
      </w:tr>
      <w:tr>
        <w:tc>
          <w:tcPr>
            <w:tcW w:type="dxa" w:w="1440"/>
          </w:tcPr>
          <w:p>
            <w:r>
              <w:t>Klaus Mueller</w:t>
            </w:r>
          </w:p>
        </w:tc>
        <w:tc>
          <w:tcPr>
            <w:tcW w:type="dxa" w:w="1440"/>
          </w:tcPr>
          <w:p>
            <w:r>
              <w:t>60 %</w:t>
            </w:r>
          </w:p>
        </w:tc>
        <w:tc>
          <w:tcPr>
            <w:tcW w:type="dxa" w:w="1440"/>
          </w:tcPr>
          <w:p>
            <w:r>
              <w:t>660.000,00</w:t>
            </w:r>
          </w:p>
        </w:tc>
        <w:tc>
          <w:tcPr>
            <w:tcW w:type="dxa" w:w="1440"/>
          </w:tcPr>
          <w:p>
            <w:r>
              <w:t>165.000,00</w:t>
            </w:r>
          </w:p>
        </w:tc>
        <w:tc>
          <w:tcPr>
            <w:tcW w:type="dxa" w:w="1440"/>
          </w:tcPr>
          <w:p>
            <w:r>
              <w:t>9.075,00</w:t>
            </w:r>
          </w:p>
        </w:tc>
        <w:tc>
          <w:tcPr>
            <w:tcW w:type="dxa" w:w="1440"/>
          </w:tcPr>
          <w:p>
            <w:r>
              <w:t>485.925,00</w:t>
            </w:r>
          </w:p>
        </w:tc>
      </w:tr>
      <w:tr>
        <w:tc>
          <w:tcPr>
            <w:tcW w:type="dxa" w:w="1440"/>
          </w:tcPr>
          <w:p>
            <w:r>
              <w:t>Mueller Familien-GbR</w:t>
            </w:r>
          </w:p>
        </w:tc>
        <w:tc>
          <w:tcPr>
            <w:tcW w:type="dxa" w:w="1440"/>
          </w:tcPr>
          <w:p>
            <w:r>
              <w:t>40 %</w:t>
            </w:r>
          </w:p>
        </w:tc>
        <w:tc>
          <w:tcPr>
            <w:tcW w:type="dxa" w:w="1440"/>
          </w:tcPr>
          <w:p>
            <w:r>
              <w:t>440.000,00</w:t>
            </w:r>
          </w:p>
        </w:tc>
        <w:tc>
          <w:tcPr>
            <w:tcW w:type="dxa" w:w="1440"/>
          </w:tcPr>
          <w:p>
            <w:r>
              <w:t>110.000,00</w:t>
            </w:r>
          </w:p>
        </w:tc>
        <w:tc>
          <w:tcPr>
            <w:tcW w:type="dxa" w:w="1440"/>
          </w:tcPr>
          <w:p>
            <w:r>
              <w:t>6.050,00</w:t>
            </w:r>
          </w:p>
        </w:tc>
        <w:tc>
          <w:tcPr>
            <w:tcW w:type="dxa" w:w="1440"/>
          </w:tcPr>
          <w:p>
            <w:r>
              <w:t>323.950,00</w:t>
            </w:r>
          </w:p>
        </w:tc>
      </w:tr>
      <w:tr>
        <w:tc>
          <w:tcPr>
            <w:tcW w:type="dxa" w:w="1440"/>
          </w:tcPr>
          <w:p>
            <w:r>
              <w:t>SUMME</w:t>
            </w:r>
          </w:p>
        </w:tc>
        <w:tc>
          <w:tcPr>
            <w:tcW w:type="dxa" w:w="1440"/>
          </w:tcPr>
          <w:p>
            <w:r>
              <w:t>100 %</w:t>
            </w:r>
          </w:p>
        </w:tc>
        <w:tc>
          <w:tcPr>
            <w:tcW w:type="dxa" w:w="1440"/>
          </w:tcPr>
          <w:p>
            <w:r>
              <w:t>1.100.000,00</w:t>
            </w:r>
          </w:p>
        </w:tc>
        <w:tc>
          <w:tcPr>
            <w:tcW w:type="dxa" w:w="1440"/>
          </w:tcPr>
          <w:p>
            <w:r>
              <w:t>275.000,00</w:t>
            </w:r>
          </w:p>
        </w:tc>
        <w:tc>
          <w:tcPr>
            <w:tcW w:type="dxa" w:w="1440"/>
          </w:tcPr>
          <w:p>
            <w:r>
              <w:t>15.125,00</w:t>
            </w:r>
          </w:p>
        </w:tc>
        <w:tc>
          <w:tcPr>
            <w:tcW w:type="dxa" w:w="1440"/>
          </w:tcPr>
          <w:p>
            <w:r>
              <w:t>809.875,00</w:t>
            </w:r>
          </w:p>
        </w:tc>
      </w:tr>
    </w:tbl>
    <w:p>
      <w:pPr>
        <w:pStyle w:val="Heading3"/>
      </w:pPr>
      <w:r>
        <w:t>Auswirkung Eigenkapital</w:t>
      </w:r>
    </w:p>
    <w:p>
      <w:r>
        <w:t>Nach Beschluss steigt das Eigenkapital von 16,90 Mio. EUR (31.12.2023) um die thesaurierten 1,87 Mio. EUR (1,77 Mio. EUR plus 0,10 Mio. EUR Vortrag) auf einen Pro-forma-Stand von rund 18,77 Mio. EUR. Die EK-Quote (gemessen an Bilanzsumme 31,2 Mio. EUR) verbessert sich entsprechend von 54,2 % auf rund 60,2 % – Vorbereitung der geplanten Beteiligungstransaktion / Wachstumsphase.</w:t>
      </w:r>
    </w:p>
    <w:p>
      <w:pPr>
        <w:pStyle w:val="Heading3"/>
      </w:pPr>
      <w:r>
        <w:t>Empfehlung</w:t>
      </w:r>
    </w:p>
    <w:p>
      <w:r>
        <w:t>Die Geschaeftsfuehrung empfiehlt die Annahme des Vorschlags. Die Wirtschaftspruefung (BDO AG WPG) hat den Vorschlag als sachgerecht im Lichte der gesellschaftsvertraglichen Thesaurierungsregelung (§ 15 GV i. d. F. v. 19.09.2019) bestaetigt.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