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Jahresabschluss 2021 – Kurzfassung</w:t>
      </w:r>
    </w:p>
    <w:p>
      <w:pPr>
        <w:jc w:val="center"/>
      </w:pPr>
      <w:r>
        <w:t>Halbreiter Maschinenbau GmbH – Geschaeftsjahr 1. Januar bis 31. Dezember 2021</w:t>
      </w:r>
    </w:p>
    <w:p/>
    <w:p>
      <w:pPr>
        <w:pStyle w:val="Heading3"/>
      </w:pPr>
      <w:r>
        <w:t>1. Allgemeine Angaben</w:t>
      </w:r>
    </w:p>
    <w:p>
      <w:r>
        <w:t>Der Jahresabschluss wurde gemaess den Vorschriften des Handelsgesetzbuchs (HGB) und unter ergaenzender Anwendung der Vorschriften des GmbH-Gesetzes aufgestellt. Die Gesellschaft ist eine mittelgrosse Kapitalgesellschaft im Sinne des § 267 Abs. 2 HGB. Die Pruefung erfolgte durch die BDO AG Wirtschaftspruefungsgesellschaft, Koeln; der Bestaetigungsvermerk wurde am 29. April 2022 uneingeschraenkt erteilt.</w:t>
      </w:r>
    </w:p>
    <w:p>
      <w:pPr>
        <w:pStyle w:val="Heading3"/>
      </w:pPr>
      <w:r>
        <w:t>2. Bilanz 31.12.2021 (verkuerzt)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Aktiva</w:t>
            </w:r>
          </w:p>
        </w:tc>
        <w:tc>
          <w:tcPr>
            <w:tcW w:type="dxa" w:w="1440"/>
          </w:tcPr>
          <w:p>
            <w:r>
              <w:t>31.12.2021 EUR</w:t>
            </w:r>
          </w:p>
        </w:tc>
        <w:tc>
          <w:tcPr>
            <w:tcW w:type="dxa" w:w="1440"/>
          </w:tcPr>
          <w:p>
            <w:r>
              <w:t>31.12.2020 EUR</w:t>
            </w:r>
          </w:p>
        </w:tc>
        <w:tc>
          <w:tcPr>
            <w:tcW w:type="dxa" w:w="1440"/>
          </w:tcPr>
          <w:p>
            <w:r>
              <w:t>Passiva</w:t>
            </w:r>
          </w:p>
        </w:tc>
        <w:tc>
          <w:tcPr>
            <w:tcW w:type="dxa" w:w="1440"/>
          </w:tcPr>
          <w:p>
            <w:r>
              <w:t>31.12.2021 EUR</w:t>
            </w:r>
          </w:p>
        </w:tc>
        <w:tc>
          <w:tcPr>
            <w:tcW w:type="dxa" w:w="1440"/>
          </w:tcPr>
          <w:p>
            <w:r>
              <w:t>31.12.2020 EUR</w:t>
            </w:r>
          </w:p>
        </w:tc>
      </w:tr>
      <w:tr>
        <w:tc>
          <w:tcPr>
            <w:tcW w:type="dxa" w:w="1440"/>
          </w:tcPr>
          <w:p>
            <w:r>
              <w:t>Immaterielle VG</w:t>
            </w:r>
          </w:p>
        </w:tc>
        <w:tc>
          <w:tcPr>
            <w:tcW w:type="dxa" w:w="1440"/>
          </w:tcPr>
          <w:p>
            <w:r>
              <w:t>210.000</w:t>
            </w:r>
          </w:p>
        </w:tc>
        <w:tc>
          <w:tcPr>
            <w:tcW w:type="dxa" w:w="1440"/>
          </w:tcPr>
          <w:p>
            <w:r>
              <w:t>180.000</w:t>
            </w:r>
          </w:p>
        </w:tc>
        <w:tc>
          <w:tcPr>
            <w:tcW w:type="dxa" w:w="1440"/>
          </w:tcPr>
          <w:p>
            <w:r>
              <w:t>Gez. Kapital</w:t>
            </w:r>
          </w:p>
        </w:tc>
        <w:tc>
          <w:tcPr>
            <w:tcW w:type="dxa" w:w="1440"/>
          </w:tcPr>
          <w:p>
            <w:r>
              <w:t>250.000</w:t>
            </w:r>
          </w:p>
        </w:tc>
        <w:tc>
          <w:tcPr>
            <w:tcW w:type="dxa" w:w="1440"/>
          </w:tcPr>
          <w:p>
            <w:r>
              <w:t>250.000</w:t>
            </w:r>
          </w:p>
        </w:tc>
      </w:tr>
      <w:tr>
        <w:tc>
          <w:tcPr>
            <w:tcW w:type="dxa" w:w="1440"/>
          </w:tcPr>
          <w:p>
            <w:r>
              <w:t>Sachanlagen</w:t>
            </w:r>
          </w:p>
        </w:tc>
        <w:tc>
          <w:tcPr>
            <w:tcW w:type="dxa" w:w="1440"/>
          </w:tcPr>
          <w:p>
            <w:r>
              <w:t>12.450.000</w:t>
            </w:r>
          </w:p>
        </w:tc>
        <w:tc>
          <w:tcPr>
            <w:tcW w:type="dxa" w:w="1440"/>
          </w:tcPr>
          <w:p>
            <w:r>
              <w:t>12.080.000</w:t>
            </w:r>
          </w:p>
        </w:tc>
        <w:tc>
          <w:tcPr>
            <w:tcW w:type="dxa" w:w="1440"/>
          </w:tcPr>
          <w:p>
            <w:r>
              <w:t>Gewinnruecklagen</w:t>
            </w:r>
          </w:p>
        </w:tc>
        <w:tc>
          <w:tcPr>
            <w:tcW w:type="dxa" w:w="1440"/>
          </w:tcPr>
          <w:p>
            <w:r>
              <w:t>12.110.000</w:t>
            </w:r>
          </w:p>
        </w:tc>
        <w:tc>
          <w:tcPr>
            <w:tcW w:type="dxa" w:w="1440"/>
          </w:tcPr>
          <w:p>
            <w:r>
              <w:t>10.730.000</w:t>
            </w:r>
          </w:p>
        </w:tc>
      </w:tr>
      <w:tr>
        <w:tc>
          <w:tcPr>
            <w:tcW w:type="dxa" w:w="1440"/>
          </w:tcPr>
          <w:p>
            <w:r>
              <w:t>Finanzanlagen</w:t>
            </w:r>
          </w:p>
        </w:tc>
        <w:tc>
          <w:tcPr>
            <w:tcW w:type="dxa" w:w="1440"/>
          </w:tcPr>
          <w:p>
            <w:r>
              <w:t>320.000</w:t>
            </w:r>
          </w:p>
        </w:tc>
        <w:tc>
          <w:tcPr>
            <w:tcW w:type="dxa" w:w="1440"/>
          </w:tcPr>
          <w:p>
            <w:r>
              <w:t>280.000</w:t>
            </w:r>
          </w:p>
        </w:tc>
        <w:tc>
          <w:tcPr>
            <w:tcW w:type="dxa" w:w="1440"/>
          </w:tcPr>
          <w:p>
            <w:r>
              <w:t>Bilanzgewinn</w:t>
            </w:r>
          </w:p>
        </w:tc>
        <w:tc>
          <w:tcPr>
            <w:tcW w:type="dxa" w:w="1440"/>
          </w:tcPr>
          <w:p>
            <w:r>
              <w:t>1.040.000</w:t>
            </w:r>
          </w:p>
        </w:tc>
        <w:tc>
          <w:tcPr>
            <w:tcW w:type="dxa" w:w="1440"/>
          </w:tcPr>
          <w:p>
            <w:r>
              <w:t>1.420.000</w:t>
            </w:r>
          </w:p>
        </w:tc>
      </w:tr>
      <w:tr>
        <w:tc>
          <w:tcPr>
            <w:tcW w:type="dxa" w:w="1440"/>
          </w:tcPr>
          <w:p>
            <w:r>
              <w:t>Vorraete</w:t>
            </w:r>
          </w:p>
        </w:tc>
        <w:tc>
          <w:tcPr>
            <w:tcW w:type="dxa" w:w="1440"/>
          </w:tcPr>
          <w:p>
            <w:r>
              <w:t>6.890.000</w:t>
            </w:r>
          </w:p>
        </w:tc>
        <w:tc>
          <w:tcPr>
            <w:tcW w:type="dxa" w:w="1440"/>
          </w:tcPr>
          <w:p>
            <w:r>
              <w:t>6.420.000</w:t>
            </w:r>
          </w:p>
        </w:tc>
        <w:tc>
          <w:tcPr>
            <w:tcW w:type="dxa" w:w="1440"/>
          </w:tcPr>
          <w:p>
            <w:r>
              <w:t>Rueckstellungen</w:t>
            </w:r>
          </w:p>
        </w:tc>
        <w:tc>
          <w:tcPr>
            <w:tcW w:type="dxa" w:w="1440"/>
          </w:tcPr>
          <w:p>
            <w:r>
              <w:t>4.180.000</w:t>
            </w:r>
          </w:p>
        </w:tc>
        <w:tc>
          <w:tcPr>
            <w:tcW w:type="dxa" w:w="1440"/>
          </w:tcPr>
          <w:p>
            <w:r>
              <w:t>3.860.000</w:t>
            </w:r>
          </w:p>
        </w:tc>
      </w:tr>
      <w:tr>
        <w:tc>
          <w:tcPr>
            <w:tcW w:type="dxa" w:w="1440"/>
          </w:tcPr>
          <w:p>
            <w:r>
              <w:t>Forderungen L+L</w:t>
            </w:r>
          </w:p>
        </w:tc>
        <w:tc>
          <w:tcPr>
            <w:tcW w:type="dxa" w:w="1440"/>
          </w:tcPr>
          <w:p>
            <w:r>
              <w:t>5.310.000</w:t>
            </w:r>
          </w:p>
        </w:tc>
        <w:tc>
          <w:tcPr>
            <w:tcW w:type="dxa" w:w="1440"/>
          </w:tcPr>
          <w:p>
            <w:r>
              <w:t>5.580.000</w:t>
            </w:r>
          </w:p>
        </w:tc>
        <w:tc>
          <w:tcPr>
            <w:tcW w:type="dxa" w:w="1440"/>
          </w:tcPr>
          <w:p>
            <w:r>
              <w:t>Verbindlichkeiten Banken</w:t>
            </w:r>
          </w:p>
        </w:tc>
        <w:tc>
          <w:tcPr>
            <w:tcW w:type="dxa" w:w="1440"/>
          </w:tcPr>
          <w:p>
            <w:r>
              <w:t>5.640.000</w:t>
            </w:r>
          </w:p>
        </w:tc>
        <w:tc>
          <w:tcPr>
            <w:tcW w:type="dxa" w:w="1440"/>
          </w:tcPr>
          <w:p>
            <w:r>
              <w:t>6.210.000</w:t>
            </w:r>
          </w:p>
        </w:tc>
      </w:tr>
      <w:tr>
        <w:tc>
          <w:tcPr>
            <w:tcW w:type="dxa" w:w="1440"/>
          </w:tcPr>
          <w:p>
            <w:r>
              <w:t>Liquide Mittel</w:t>
            </w:r>
          </w:p>
        </w:tc>
        <w:tc>
          <w:tcPr>
            <w:tcW w:type="dxa" w:w="1440"/>
          </w:tcPr>
          <w:p>
            <w:r>
              <w:t>2.120.000</w:t>
            </w:r>
          </w:p>
        </w:tc>
        <w:tc>
          <w:tcPr>
            <w:tcW w:type="dxa" w:w="1440"/>
          </w:tcPr>
          <w:p>
            <w:r>
              <w:t>1.760.000</w:t>
            </w:r>
          </w:p>
        </w:tc>
        <w:tc>
          <w:tcPr>
            <w:tcW w:type="dxa" w:w="1440"/>
          </w:tcPr>
          <w:p>
            <w:r>
              <w:t>Verb. L+L</w:t>
            </w:r>
          </w:p>
        </w:tc>
        <w:tc>
          <w:tcPr>
            <w:tcW w:type="dxa" w:w="1440"/>
          </w:tcPr>
          <w:p>
            <w:r>
              <w:t>3.760.000</w:t>
            </w:r>
          </w:p>
        </w:tc>
        <w:tc>
          <w:tcPr>
            <w:tcW w:type="dxa" w:w="1440"/>
          </w:tcPr>
          <w:p>
            <w:r>
              <w:t>3.180.000</w:t>
            </w:r>
          </w:p>
        </w:tc>
      </w:tr>
      <w:tr>
        <w:tc>
          <w:tcPr>
            <w:tcW w:type="dxa" w:w="1440"/>
          </w:tcPr>
          <w:p>
            <w:r>
              <w:t>Sonst. Aktiva</w:t>
            </w:r>
          </w:p>
        </w:tc>
        <w:tc>
          <w:tcPr>
            <w:tcW w:type="dxa" w:w="1440"/>
          </w:tcPr>
          <w:p>
            <w:r>
              <w:t>200.000</w:t>
            </w:r>
          </w:p>
        </w:tc>
        <w:tc>
          <w:tcPr>
            <w:tcW w:type="dxa" w:w="1440"/>
          </w:tcPr>
          <w:p>
            <w:r>
              <w:t>240.000</w:t>
            </w:r>
          </w:p>
        </w:tc>
        <w:tc>
          <w:tcPr>
            <w:tcW w:type="dxa" w:w="1440"/>
          </w:tcPr>
          <w:p>
            <w:r>
              <w:t>Sonst. Passiva</w:t>
            </w:r>
          </w:p>
        </w:tc>
        <w:tc>
          <w:tcPr>
            <w:tcW w:type="dxa" w:w="1440"/>
          </w:tcPr>
          <w:p>
            <w:r>
              <w:t>520.000</w:t>
            </w:r>
          </w:p>
        </w:tc>
        <w:tc>
          <w:tcPr>
            <w:tcW w:type="dxa" w:w="1440"/>
          </w:tcPr>
          <w:p>
            <w:r>
              <w:t>490.000</w:t>
            </w:r>
          </w:p>
        </w:tc>
      </w:tr>
      <w:tr>
        <w:tc>
          <w:tcPr>
            <w:tcW w:type="dxa" w:w="1440"/>
          </w:tcPr>
          <w:p>
            <w:r>
              <w:t>SUMME</w:t>
            </w:r>
          </w:p>
        </w:tc>
        <w:tc>
          <w:tcPr>
            <w:tcW w:type="dxa" w:w="1440"/>
          </w:tcPr>
          <w:p>
            <w:r>
              <w:t>27.500.000</w:t>
            </w:r>
          </w:p>
        </w:tc>
        <w:tc>
          <w:tcPr>
            <w:tcW w:type="dxa" w:w="1440"/>
          </w:tcPr>
          <w:p>
            <w:r>
              <w:t>26.540.000</w:t>
            </w:r>
          </w:p>
        </w:tc>
        <w:tc>
          <w:tcPr>
            <w:tcW w:type="dxa" w:w="1440"/>
          </w:tcPr>
          <w:p>
            <w:r>
              <w:t>SUMME</w:t>
            </w:r>
          </w:p>
        </w:tc>
        <w:tc>
          <w:tcPr>
            <w:tcW w:type="dxa" w:w="1440"/>
          </w:tcPr>
          <w:p>
            <w:r>
              <w:t>27.500.000</w:t>
            </w:r>
          </w:p>
        </w:tc>
        <w:tc>
          <w:tcPr>
            <w:tcW w:type="dxa" w:w="1440"/>
          </w:tcPr>
          <w:p>
            <w:r>
              <w:t>26.540.000</w:t>
            </w:r>
          </w:p>
        </w:tc>
      </w:tr>
    </w:tbl>
    <w:p>
      <w:pPr>
        <w:pStyle w:val="Heading3"/>
      </w:pPr>
      <w:r>
        <w:t>3. Gewinn- und Verlustrechnung 2021 (verkuerzt)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Position</w:t>
            </w:r>
          </w:p>
        </w:tc>
        <w:tc>
          <w:tcPr>
            <w:tcW w:type="dxa" w:w="2160"/>
          </w:tcPr>
          <w:p>
            <w:r>
              <w:t>2021 EUR</w:t>
            </w:r>
          </w:p>
        </w:tc>
        <w:tc>
          <w:tcPr>
            <w:tcW w:type="dxa" w:w="2160"/>
          </w:tcPr>
          <w:p>
            <w:r>
              <w:t>2020 EUR</w:t>
            </w:r>
          </w:p>
        </w:tc>
        <w:tc>
          <w:tcPr>
            <w:tcW w:type="dxa" w:w="2160"/>
          </w:tcPr>
          <w:p>
            <w:r>
              <w:t>Veraenderung</w:t>
            </w:r>
          </w:p>
        </w:tc>
      </w:tr>
      <w:tr>
        <w:tc>
          <w:tcPr>
            <w:tcW w:type="dxa" w:w="2160"/>
          </w:tcPr>
          <w:p>
            <w:r>
              <w:t>Umsatzerloese</w:t>
            </w:r>
          </w:p>
        </w:tc>
        <w:tc>
          <w:tcPr>
            <w:tcW w:type="dxa" w:w="2160"/>
          </w:tcPr>
          <w:p>
            <w:r>
              <w:t>41.900.000</w:t>
            </w:r>
          </w:p>
        </w:tc>
        <w:tc>
          <w:tcPr>
            <w:tcW w:type="dxa" w:w="2160"/>
          </w:tcPr>
          <w:p>
            <w:r>
              <w:t>39.800.000</w:t>
            </w:r>
          </w:p>
        </w:tc>
        <w:tc>
          <w:tcPr>
            <w:tcW w:type="dxa" w:w="2160"/>
          </w:tcPr>
          <w:p>
            <w:r>
              <w:t>+5,3 %</w:t>
            </w:r>
          </w:p>
        </w:tc>
      </w:tr>
      <w:tr>
        <w:tc>
          <w:tcPr>
            <w:tcW w:type="dxa" w:w="2160"/>
          </w:tcPr>
          <w:p>
            <w:r>
              <w:t>Bestandsveraenderung</w:t>
            </w:r>
          </w:p>
        </w:tc>
        <w:tc>
          <w:tcPr>
            <w:tcW w:type="dxa" w:w="2160"/>
          </w:tcPr>
          <w:p>
            <w:r>
              <w:t>230.000</w:t>
            </w:r>
          </w:p>
        </w:tc>
        <w:tc>
          <w:tcPr>
            <w:tcW w:type="dxa" w:w="2160"/>
          </w:tcPr>
          <w:p>
            <w:r>
              <w:t>180.000</w:t>
            </w:r>
          </w:p>
        </w:tc>
        <w:tc>
          <w:tcPr>
            <w:tcW w:type="dxa" w:w="2160"/>
          </w:tcPr>
          <w:p>
            <w:r>
              <w:t>+27,8 %</w:t>
            </w:r>
          </w:p>
        </w:tc>
      </w:tr>
      <w:tr>
        <w:tc>
          <w:tcPr>
            <w:tcW w:type="dxa" w:w="2160"/>
          </w:tcPr>
          <w:p>
            <w:r>
              <w:t>Gesamtleistung</w:t>
            </w:r>
          </w:p>
        </w:tc>
        <w:tc>
          <w:tcPr>
            <w:tcW w:type="dxa" w:w="2160"/>
          </w:tcPr>
          <w:p>
            <w:r>
              <w:t>42.130.000</w:t>
            </w:r>
          </w:p>
        </w:tc>
        <w:tc>
          <w:tcPr>
            <w:tcW w:type="dxa" w:w="2160"/>
          </w:tcPr>
          <w:p>
            <w:r>
              <w:t>39.980.000</w:t>
            </w:r>
          </w:p>
        </w:tc>
        <w:tc>
          <w:tcPr>
            <w:tcW w:type="dxa" w:w="2160"/>
          </w:tcPr>
          <w:p>
            <w:r>
              <w:t>+5,4 %</w:t>
            </w:r>
          </w:p>
        </w:tc>
      </w:tr>
      <w:tr>
        <w:tc>
          <w:tcPr>
            <w:tcW w:type="dxa" w:w="2160"/>
          </w:tcPr>
          <w:p>
            <w:r>
              <w:t>Materialaufwand</w:t>
            </w:r>
          </w:p>
        </w:tc>
        <w:tc>
          <w:tcPr>
            <w:tcW w:type="dxa" w:w="2160"/>
          </w:tcPr>
          <w:p>
            <w:r>
              <w:t>21.700.000</w:t>
            </w:r>
          </w:p>
        </w:tc>
        <w:tc>
          <w:tcPr>
            <w:tcW w:type="dxa" w:w="2160"/>
          </w:tcPr>
          <w:p>
            <w:r>
              <w:t>20.650.000</w:t>
            </w:r>
          </w:p>
        </w:tc>
        <w:tc>
          <w:tcPr>
            <w:tcW w:type="dxa" w:w="2160"/>
          </w:tcPr>
          <w:p>
            <w:r>
              <w:t>+5,1 %</w:t>
            </w:r>
          </w:p>
        </w:tc>
      </w:tr>
      <w:tr>
        <w:tc>
          <w:tcPr>
            <w:tcW w:type="dxa" w:w="2160"/>
          </w:tcPr>
          <w:p>
            <w:r>
              <w:t>Personalaufwand</w:t>
            </w:r>
          </w:p>
        </w:tc>
        <w:tc>
          <w:tcPr>
            <w:tcW w:type="dxa" w:w="2160"/>
          </w:tcPr>
          <w:p>
            <w:r>
              <w:t>13.580.000</w:t>
            </w:r>
          </w:p>
        </w:tc>
        <w:tc>
          <w:tcPr>
            <w:tcW w:type="dxa" w:w="2160"/>
          </w:tcPr>
          <w:p>
            <w:r>
              <w:t>13.020.000</w:t>
            </w:r>
          </w:p>
        </w:tc>
        <w:tc>
          <w:tcPr>
            <w:tcW w:type="dxa" w:w="2160"/>
          </w:tcPr>
          <w:p>
            <w:r>
              <w:t>+4,3 %</w:t>
            </w:r>
          </w:p>
        </w:tc>
      </w:tr>
      <w:tr>
        <w:tc>
          <w:tcPr>
            <w:tcW w:type="dxa" w:w="2160"/>
          </w:tcPr>
          <w:p>
            <w:r>
              <w:t>Sonst. betr. Aufwand</w:t>
            </w:r>
          </w:p>
        </w:tc>
        <w:tc>
          <w:tcPr>
            <w:tcW w:type="dxa" w:w="2160"/>
          </w:tcPr>
          <w:p>
            <w:r>
              <w:t>3.420.000</w:t>
            </w:r>
          </w:p>
        </w:tc>
        <w:tc>
          <w:tcPr>
            <w:tcW w:type="dxa" w:w="2160"/>
          </w:tcPr>
          <w:p>
            <w:r>
              <w:t>3.260.000</w:t>
            </w:r>
          </w:p>
        </w:tc>
        <w:tc>
          <w:tcPr>
            <w:tcW w:type="dxa" w:w="2160"/>
          </w:tcPr>
          <w:p>
            <w:r>
              <w:t>+4,9 %</w:t>
            </w:r>
          </w:p>
        </w:tc>
      </w:tr>
      <w:tr>
        <w:tc>
          <w:tcPr>
            <w:tcW w:type="dxa" w:w="2160"/>
          </w:tcPr>
          <w:p>
            <w:r>
              <w:t>EBITDA</w:t>
            </w:r>
          </w:p>
        </w:tc>
        <w:tc>
          <w:tcPr>
            <w:tcW w:type="dxa" w:w="2160"/>
          </w:tcPr>
          <w:p>
            <w:r>
              <w:t>4.800.000</w:t>
            </w:r>
          </w:p>
        </w:tc>
        <w:tc>
          <w:tcPr>
            <w:tcW w:type="dxa" w:w="2160"/>
          </w:tcPr>
          <w:p>
            <w:r>
              <w:t>4.150.000</w:t>
            </w:r>
          </w:p>
        </w:tc>
        <w:tc>
          <w:tcPr>
            <w:tcW w:type="dxa" w:w="2160"/>
          </w:tcPr>
          <w:p>
            <w:r>
              <w:t>+15,7 %</w:t>
            </w:r>
          </w:p>
        </w:tc>
      </w:tr>
      <w:tr>
        <w:tc>
          <w:tcPr>
            <w:tcW w:type="dxa" w:w="2160"/>
          </w:tcPr>
          <w:p>
            <w:r>
              <w:t>AfA</w:t>
            </w:r>
          </w:p>
        </w:tc>
        <w:tc>
          <w:tcPr>
            <w:tcW w:type="dxa" w:w="2160"/>
          </w:tcPr>
          <w:p>
            <w:r>
              <w:t>1.850.000</w:t>
            </w:r>
          </w:p>
        </w:tc>
        <w:tc>
          <w:tcPr>
            <w:tcW w:type="dxa" w:w="2160"/>
          </w:tcPr>
          <w:p>
            <w:r>
              <w:t>1.770.000</w:t>
            </w:r>
          </w:p>
        </w:tc>
        <w:tc>
          <w:tcPr>
            <w:tcW w:type="dxa" w:w="2160"/>
          </w:tcPr>
          <w:p>
            <w:r>
              <w:t>+4,5 %</w:t>
            </w:r>
          </w:p>
        </w:tc>
      </w:tr>
      <w:tr>
        <w:tc>
          <w:tcPr>
            <w:tcW w:type="dxa" w:w="2160"/>
          </w:tcPr>
          <w:p>
            <w:r>
              <w:t>EBIT</w:t>
            </w:r>
          </w:p>
        </w:tc>
        <w:tc>
          <w:tcPr>
            <w:tcW w:type="dxa" w:w="2160"/>
          </w:tcPr>
          <w:p>
            <w:r>
              <w:t>2.950.000</w:t>
            </w:r>
          </w:p>
        </w:tc>
        <w:tc>
          <w:tcPr>
            <w:tcW w:type="dxa" w:w="2160"/>
          </w:tcPr>
          <w:p>
            <w:r>
              <w:t>2.380.000</w:t>
            </w:r>
          </w:p>
        </w:tc>
        <w:tc>
          <w:tcPr>
            <w:tcW w:type="dxa" w:w="2160"/>
          </w:tcPr>
          <w:p>
            <w:r>
              <w:t>+23,9 %</w:t>
            </w:r>
          </w:p>
        </w:tc>
      </w:tr>
      <w:tr>
        <w:tc>
          <w:tcPr>
            <w:tcW w:type="dxa" w:w="2160"/>
          </w:tcPr>
          <w:p>
            <w:r>
              <w:t>Zins-/Beteiligungsergebnis</w:t>
            </w:r>
          </w:p>
        </w:tc>
        <w:tc>
          <w:tcPr>
            <w:tcW w:type="dxa" w:w="2160"/>
          </w:tcPr>
          <w:p>
            <w:r>
              <w:t>-260.000</w:t>
            </w:r>
          </w:p>
        </w:tc>
        <w:tc>
          <w:tcPr>
            <w:tcW w:type="dxa" w:w="2160"/>
          </w:tcPr>
          <w:p>
            <w:r>
              <w:t>-300.000</w:t>
            </w:r>
          </w:p>
        </w:tc>
        <w:tc>
          <w:tcPr>
            <w:tcW w:type="dxa" w:w="2160"/>
          </w:tcPr>
          <w:p>
            <w:r>
              <w:t>+13,3 %</w:t>
            </w:r>
          </w:p>
        </w:tc>
      </w:tr>
      <w:tr>
        <w:tc>
          <w:tcPr>
            <w:tcW w:type="dxa" w:w="2160"/>
          </w:tcPr>
          <w:p>
            <w:r>
              <w:t>Steuern v. Eink. u. Ertrag</w:t>
            </w:r>
          </w:p>
        </w:tc>
        <w:tc>
          <w:tcPr>
            <w:tcW w:type="dxa" w:w="2160"/>
          </w:tcPr>
          <w:p>
            <w:r>
              <w:t>-620.000</w:t>
            </w:r>
          </w:p>
        </w:tc>
        <w:tc>
          <w:tcPr>
            <w:tcW w:type="dxa" w:w="2160"/>
          </w:tcPr>
          <w:p>
            <w:r>
              <w:t>-360.000</w:t>
            </w:r>
          </w:p>
        </w:tc>
        <w:tc>
          <w:tcPr>
            <w:tcW w:type="dxa" w:w="2160"/>
          </w:tcPr>
          <w:p>
            <w:r>
              <w:t>+72,2 %</w:t>
            </w:r>
          </w:p>
        </w:tc>
      </w:tr>
      <w:tr>
        <w:tc>
          <w:tcPr>
            <w:tcW w:type="dxa" w:w="2160"/>
          </w:tcPr>
          <w:p>
            <w:r>
              <w:t>Jahresueberschuss</w:t>
            </w:r>
          </w:p>
        </w:tc>
        <w:tc>
          <w:tcPr>
            <w:tcW w:type="dxa" w:w="2160"/>
          </w:tcPr>
          <w:p>
            <w:r>
              <w:t>2.070.000</w:t>
            </w:r>
          </w:p>
        </w:tc>
        <w:tc>
          <w:tcPr>
            <w:tcW w:type="dxa" w:w="2160"/>
          </w:tcPr>
          <w:p>
            <w:r>
              <w:t>1.720.000</w:t>
            </w:r>
          </w:p>
        </w:tc>
        <w:tc>
          <w:tcPr>
            <w:tcW w:type="dxa" w:w="2160"/>
          </w:tcPr>
          <w:p>
            <w:r>
              <w:t>+20,3 %</w:t>
            </w:r>
          </w:p>
        </w:tc>
      </w:tr>
    </w:tbl>
    <w:p>
      <w:pPr>
        <w:pStyle w:val="Heading3"/>
      </w:pPr>
      <w:r>
        <w:t>4. Lagebericht (Auszuege)</w:t>
      </w:r>
    </w:p>
    <w:p>
      <w:r>
        <w:t>Die Gesellschaft hat das Geschaeftsjahr 2021 trotz fortdauernder Verwerfungen in den globalen Lieferketten erfolgreich bewaeltigt. Materialengpaesse bei elektronischen Komponenten (insbesondere Antriebssteuerungen) konnten durch fruehzeitige Bevorratung und enge Abstimmung mit den Lieferanten Siemens AG, Trumpf SE + Co. KG und Schunk GmbH &amp; Co. KG kompensiert werden. Wesentliche Risiken bestehen weiterhin im Energiepreisbereich.</w:t>
      </w:r>
    </w:p>
    <w:p>
      <w:r>
        <w:t>Der Auftragsbestand zum 31.12.2021 belaeuft sich auf 14,8 Mio. EUR (Vorjahr 12,3 Mio. EUR). Die Mehrheit der Auftragseingaenge entfaellt auf die Schluesselkunden ThyssenKrupp Steel Europe AG, Bosch Rexroth AG, Hella GmbH &amp; Co. KGaA, Viessmann Climate Solutions SE und Dürr AG.</w:t>
      </w:r>
    </w:p>
    <w:p>
      <w:r>
        <w:t>Ausblick: Geschaeftsfuehrung erwartet fuer 2022 ein moderates Umsatzwachstum von rund 3-5 %, EBITDA-Marge stabil im Bereich 11-12 %.</w:t>
      </w:r>
    </w:p>
    <w:p>
      <w:pPr>
        <w:pStyle w:val="Heading3"/>
      </w:pPr>
      <w:r>
        <w:t>5. Ergebnisverwendung</w:t>
      </w:r>
    </w:p>
    <w:p>
      <w:r>
        <w:t>Vom Jahresueberschuss 2021 in Hoehe von 2.070.000 EUR werden 1.270.000 EUR in die anderen Gewinnruecklagen eingestellt; die verbleibenden 800.000 EUR werden als Ausschuettung an die Gesellschafter ausgekehrt (Beschluss vom 23.06.2022).</w:t>
      </w:r>
    </w:p>
    <w:p>
      <w:pPr>
        <w:pStyle w:val="Heading3"/>
      </w:pPr>
      <w:r>
        <w:t>Unterschriften</w:t>
      </w:r>
    </w:p>
    <w:p>
      <w:r>
        <w:t>Ort, Datum: Koeln, den 20. April 2022</w:t>
      </w:r>
    </w:p>
    <w:p>
      <w:r>
        <w:t>_________________________            _________________________</w:t>
        <w:br/>
        <w:t>Klaus Mueller                          Sandra Becker</w:t>
        <w:br/>
        <w:t>Geschaeftsfuehrer                          Geschaeftsfuehrerin / CFO</w:t>
        <w:br/>
        <w:t>Halbreiter Maschinenbau GmbH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