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Rueckstellungsuebersicht – Stand 31. Dezember 2023</w:t>
      </w:r>
    </w:p>
    <w:p/>
    <w:p>
      <w:pPr>
        <w:pStyle w:val="Heading3"/>
      </w:pPr>
      <w:r>
        <w:t>Vorbemerkung</w:t>
      </w:r>
    </w:p>
    <w:p>
      <w:r>
        <w:t>Diese Uebersicht stellt die zum 31. Dezember 2023 nach HGB bilanzierten Rueckstellungen der Halbreiter Maschinenbau GmbH dar. Sie ist Bestandteil des Bilanzanhangs und der Vendor-Due-Diligence-Akten. Die Bewertung erfolgte nach handelsrechtlichen Vorschriften, insbesondere § 253 HGB; die Pensionsrueckstellung ist nach der projizierten Anwartschaftsbarwertmethode (PUC, IAS 19 analog) ermittelt worden.</w:t>
      </w:r>
    </w:p>
    <w:p>
      <w:pPr>
        <w:pStyle w:val="Heading3"/>
      </w:pPr>
      <w:r>
        <w:t>Rueckstellungsspiegel zum 31.12.2023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Stand 01.01.2023</w:t>
            </w:r>
          </w:p>
        </w:tc>
        <w:tc>
          <w:tcPr>
            <w:tcW w:type="dxa" w:w="1440"/>
          </w:tcPr>
          <w:p>
            <w:r>
              <w:t>Verbrauch</w:t>
            </w:r>
          </w:p>
        </w:tc>
        <w:tc>
          <w:tcPr>
            <w:tcW w:type="dxa" w:w="1440"/>
          </w:tcPr>
          <w:p>
            <w:r>
              <w:t>Aufloesung</w:t>
            </w:r>
          </w:p>
        </w:tc>
        <w:tc>
          <w:tcPr>
            <w:tcW w:type="dxa" w:w="1440"/>
          </w:tcPr>
          <w:p>
            <w:r>
              <w:t>Zufuehrung</w:t>
            </w:r>
          </w:p>
        </w:tc>
        <w:tc>
          <w:tcPr>
            <w:tcW w:type="dxa" w:w="1440"/>
          </w:tcPr>
          <w:p>
            <w:r>
              <w:t>Stand 31.12.2023</w:t>
            </w:r>
          </w:p>
        </w:tc>
      </w:tr>
      <w:tr>
        <w:tc>
          <w:tcPr>
            <w:tcW w:type="dxa" w:w="1440"/>
          </w:tcPr>
          <w:p>
            <w:r>
              <w:t>Pensionsrueckstellungen</w:t>
            </w:r>
          </w:p>
        </w:tc>
        <w:tc>
          <w:tcPr>
            <w:tcW w:type="dxa" w:w="1440"/>
          </w:tcPr>
          <w:p>
            <w:r>
              <w:t>3.420 TEUR</w:t>
            </w:r>
          </w:p>
        </w:tc>
        <w:tc>
          <w:tcPr>
            <w:tcW w:type="dxa" w:w="1440"/>
          </w:tcPr>
          <w:p>
            <w:r>
              <w:t>180 TEUR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260 TEUR</w:t>
            </w:r>
          </w:p>
        </w:tc>
        <w:tc>
          <w:tcPr>
            <w:tcW w:type="dxa" w:w="1440"/>
          </w:tcPr>
          <w:p>
            <w:r>
              <w:t>3.500 TEUR</w:t>
            </w:r>
          </w:p>
        </w:tc>
      </w:tr>
      <w:tr>
        <w:tc>
          <w:tcPr>
            <w:tcW w:type="dxa" w:w="1440"/>
          </w:tcPr>
          <w:p>
            <w:r>
              <w:t>Gewaehrleistung</w:t>
            </w:r>
          </w:p>
        </w:tc>
        <w:tc>
          <w:tcPr>
            <w:tcW w:type="dxa" w:w="1440"/>
          </w:tcPr>
          <w:p>
            <w:r>
              <w:t>1.260 TEUR</w:t>
            </w:r>
          </w:p>
        </w:tc>
        <w:tc>
          <w:tcPr>
            <w:tcW w:type="dxa" w:w="1440"/>
          </w:tcPr>
          <w:p>
            <w:r>
              <w:t>640 TEUR</w:t>
            </w:r>
          </w:p>
        </w:tc>
        <w:tc>
          <w:tcPr>
            <w:tcW w:type="dxa" w:w="1440"/>
          </w:tcPr>
          <w:p>
            <w:r>
              <w:t>120 TEUR</w:t>
            </w:r>
          </w:p>
        </w:tc>
        <w:tc>
          <w:tcPr>
            <w:tcW w:type="dxa" w:w="1440"/>
          </w:tcPr>
          <w:p>
            <w:r>
              <w:t>880 TEUR</w:t>
            </w:r>
          </w:p>
        </w:tc>
        <w:tc>
          <w:tcPr>
            <w:tcW w:type="dxa" w:w="1440"/>
          </w:tcPr>
          <w:p>
            <w:r>
              <w:t>1.380 TEUR</w:t>
            </w:r>
          </w:p>
        </w:tc>
      </w:tr>
      <w:tr>
        <w:tc>
          <w:tcPr>
            <w:tcW w:type="dxa" w:w="1440"/>
          </w:tcPr>
          <w:p>
            <w:r>
              <w:t>Urlaubs- und Gleitzeitkonten</w:t>
            </w:r>
          </w:p>
        </w:tc>
        <w:tc>
          <w:tcPr>
            <w:tcW w:type="dxa" w:w="1440"/>
          </w:tcPr>
          <w:p>
            <w:r>
              <w:t>780 TEUR</w:t>
            </w:r>
          </w:p>
        </w:tc>
        <w:tc>
          <w:tcPr>
            <w:tcW w:type="dxa" w:w="1440"/>
          </w:tcPr>
          <w:p>
            <w:r>
              <w:t>780 TEUR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820 TEUR</w:t>
            </w:r>
          </w:p>
        </w:tc>
        <w:tc>
          <w:tcPr>
            <w:tcW w:type="dxa" w:w="1440"/>
          </w:tcPr>
          <w:p>
            <w:r>
              <w:t>820 TEUR</w:t>
            </w:r>
          </w:p>
        </w:tc>
      </w:tr>
      <w:tr>
        <w:tc>
          <w:tcPr>
            <w:tcW w:type="dxa" w:w="1440"/>
          </w:tcPr>
          <w:p>
            <w:r>
              <w:t>Tantieme/Boni Geschaeftsleitung</w:t>
            </w:r>
          </w:p>
        </w:tc>
        <w:tc>
          <w:tcPr>
            <w:tcW w:type="dxa" w:w="1440"/>
          </w:tcPr>
          <w:p>
            <w:r>
              <w:t>440 TEUR</w:t>
            </w:r>
          </w:p>
        </w:tc>
        <w:tc>
          <w:tcPr>
            <w:tcW w:type="dxa" w:w="1440"/>
          </w:tcPr>
          <w:p>
            <w:r>
              <w:t>440 TEUR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510 TEUR</w:t>
            </w:r>
          </w:p>
        </w:tc>
        <w:tc>
          <w:tcPr>
            <w:tcW w:type="dxa" w:w="1440"/>
          </w:tcPr>
          <w:p>
            <w:r>
              <w:t>510 TEUR</w:t>
            </w:r>
          </w:p>
        </w:tc>
      </w:tr>
      <w:tr>
        <w:tc>
          <w:tcPr>
            <w:tcW w:type="dxa" w:w="1440"/>
          </w:tcPr>
          <w:p>
            <w:r>
              <w:t>Drohverluste Auftraege</w:t>
            </w:r>
          </w:p>
        </w:tc>
        <w:tc>
          <w:tcPr>
            <w:tcW w:type="dxa" w:w="1440"/>
          </w:tcPr>
          <w:p>
            <w:r>
              <w:t>210 TEUR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60 TEUR</w:t>
            </w:r>
          </w:p>
        </w:tc>
        <w:tc>
          <w:tcPr>
            <w:tcW w:type="dxa" w:w="1440"/>
          </w:tcPr>
          <w:p>
            <w:r>
              <w:t>180 TEUR</w:t>
            </w:r>
          </w:p>
        </w:tc>
        <w:tc>
          <w:tcPr>
            <w:tcW w:type="dxa" w:w="1440"/>
          </w:tcPr>
          <w:p>
            <w:r>
              <w:t>330 TEUR</w:t>
            </w:r>
          </w:p>
        </w:tc>
      </w:tr>
      <w:tr>
        <w:tc>
          <w:tcPr>
            <w:tcW w:type="dxa" w:w="1440"/>
          </w:tcPr>
          <w:p>
            <w:r>
              <w:t>Prozesskosten (Restbestand)</w:t>
            </w:r>
          </w:p>
        </w:tc>
        <w:tc>
          <w:tcPr>
            <w:tcW w:type="dxa" w:w="1440"/>
          </w:tcPr>
          <w:p>
            <w:r>
              <w:t>120 TEUR</w:t>
            </w:r>
          </w:p>
        </w:tc>
        <w:tc>
          <w:tcPr>
            <w:tcW w:type="dxa" w:w="1440"/>
          </w:tcPr>
          <w:p>
            <w:r>
              <w:t>85 TEUR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40 TEUR</w:t>
            </w:r>
          </w:p>
        </w:tc>
        <w:tc>
          <w:tcPr>
            <w:tcW w:type="dxa" w:w="1440"/>
          </w:tcPr>
          <w:p>
            <w:r>
              <w:t>75 TEUR</w:t>
            </w:r>
          </w:p>
        </w:tc>
      </w:tr>
      <w:tr>
        <w:tc>
          <w:tcPr>
            <w:tcW w:type="dxa" w:w="1440"/>
          </w:tcPr>
          <w:p>
            <w:r>
              <w:t>Sonstige (Archiv, Pruefung)</w:t>
            </w:r>
          </w:p>
        </w:tc>
        <w:tc>
          <w:tcPr>
            <w:tcW w:type="dxa" w:w="1440"/>
          </w:tcPr>
          <w:p>
            <w:r>
              <w:t>240 TEUR</w:t>
            </w:r>
          </w:p>
        </w:tc>
        <w:tc>
          <w:tcPr>
            <w:tcW w:type="dxa" w:w="1440"/>
          </w:tcPr>
          <w:p>
            <w:r>
              <w:t>210 TEUR</w:t>
            </w:r>
          </w:p>
        </w:tc>
        <w:tc>
          <w:tcPr>
            <w:tcW w:type="dxa" w:w="1440"/>
          </w:tcPr>
          <w:p>
            <w:r>
              <w:t>10 TEUR</w:t>
            </w:r>
          </w:p>
        </w:tc>
        <w:tc>
          <w:tcPr>
            <w:tcW w:type="dxa" w:w="1440"/>
          </w:tcPr>
          <w:p>
            <w:r>
              <w:t>260 TEUR</w:t>
            </w:r>
          </w:p>
        </w:tc>
        <w:tc>
          <w:tcPr>
            <w:tcW w:type="dxa" w:w="1440"/>
          </w:tcPr>
          <w:p>
            <w:r>
              <w:t>280 TEUR</w:t>
            </w:r>
          </w:p>
        </w:tc>
      </w:tr>
      <w:tr>
        <w:tc>
          <w:tcPr>
            <w:tcW w:type="dxa" w:w="1440"/>
          </w:tcPr>
          <w:p>
            <w:r>
              <w:t>Gesamt</w:t>
            </w:r>
          </w:p>
        </w:tc>
        <w:tc>
          <w:tcPr>
            <w:tcW w:type="dxa" w:w="1440"/>
          </w:tcPr>
          <w:p>
            <w:r>
              <w:t>6.470 TEUR</w:t>
            </w:r>
          </w:p>
        </w:tc>
        <w:tc>
          <w:tcPr>
            <w:tcW w:type="dxa" w:w="1440"/>
          </w:tcPr>
          <w:p>
            <w:r>
              <w:t>2.335 TEUR</w:t>
            </w:r>
          </w:p>
        </w:tc>
        <w:tc>
          <w:tcPr>
            <w:tcW w:type="dxa" w:w="1440"/>
          </w:tcPr>
          <w:p>
            <w:r>
              <w:t>190 TEUR</w:t>
            </w:r>
          </w:p>
        </w:tc>
        <w:tc>
          <w:tcPr>
            <w:tcW w:type="dxa" w:w="1440"/>
          </w:tcPr>
          <w:p>
            <w:r>
              <w:t>2.950 TEUR</w:t>
            </w:r>
          </w:p>
        </w:tc>
        <w:tc>
          <w:tcPr>
            <w:tcW w:type="dxa" w:w="1440"/>
          </w:tcPr>
          <w:p>
            <w:r>
              <w:t>6.895 TEUR</w:t>
            </w:r>
          </w:p>
        </w:tc>
      </w:tr>
    </w:tbl>
    <w:p>
      <w:pPr>
        <w:pStyle w:val="Heading3"/>
      </w:pPr>
      <w:r>
        <w:t>Erlaeuterungen zu den wesentlichen Positionen</w:t>
      </w:r>
    </w:p>
    <w:p>
      <w:r>
        <w:t>Pensionsrueckstellungen: betreffen 22 Versorgungsberechtigte (Aktive und Rentner). Rechnungszins 1,80 % (Vorjahr 1,75 %), Gehaltstrend 2,5 %, Rententrend 1,5 %, Heubeck-Richttafeln 2018 G. Versicherungsmathematische Bewertung durch Heubeck AG, Koeln.</w:t>
      </w:r>
    </w:p>
    <w:p>
      <w:r>
        <w:t>Gewaehrleistung: pauschal 1,2 % auf gewaehrleistungspflichtige Umsatzerloese der letzten 24 Monate; Einzelrueckstellungen fuer bekannte Beanstandungen bei der Pressenlinie PL-500 (Charge Q3/2022) und Foerderbandanlage FB-200.</w:t>
      </w:r>
    </w:p>
    <w:p>
      <w:r>
        <w:t>Drohverluste: betrifft einen festpreisgebundenen Auftrag der Maschinenfabrik Niehoff (Kalkulationsrisiko Stahlbau) mit erwartetem Negativergebnis von 0,3 Mio. EUR (Stichtag 30.11.2023).</w:t>
      </w:r>
    </w:p>
    <w:p>
      <w:r>
        <w:t>Prozesskosten: Restbestand aus Vergleichsverhandlung mit ehem. Lieferant Hagedorn GmbH (Rechtsanwaelte Heuking Kuehn); voraussichtliche Erledigung in Q2/2024.</w:t>
      </w:r>
    </w:p>
    <w:p>
      <w:pPr>
        <w:pStyle w:val="Heading3"/>
      </w:pPr>
      <w:r>
        <w:t>Pruefungsvermerk</w:t>
      </w:r>
    </w:p>
    <w:p>
      <w:r>
        <w:t>Die Rueckstellungsuebersicht wurde am 19. Februar 2024 durch Sandra Becker (CFO) freigegeben und im Rahmen der laufenden Pruefung 2023 durch BDO AG WPG eingesehen.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