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Umsatzsteuervoranmeldung Q4/2023</w:t>
      </w:r>
    </w:p>
    <w:p>
      <w:pPr>
        <w:jc w:val="center"/>
      </w:pPr>
      <w:r>
        <w:t>Voranmeldungszeitraum: 1. Oktober bis 31. Dezember 2023 – Finanzamt Koeln-Nord</w:t>
      </w:r>
    </w:p>
    <w:p/>
    <w:p>
      <w:pPr>
        <w:pStyle w:val="Heading3"/>
      </w:pPr>
      <w:r>
        <w:t>Stammdaten</w:t>
      </w:r>
    </w:p>
    <w:p>
      <w:r>
        <w:t>Steuernummer: 215/5765/9876</w:t>
      </w:r>
    </w:p>
    <w:p>
      <w:r>
        <w:t>USt-IdNr.: DE 198 765 432</w:t>
      </w:r>
    </w:p>
    <w:p>
      <w:r>
        <w:t>Voranmeldung uebermittelt via ELSTER am 8. Januar 2024 (Transferticket: 8240711209234567).</w:t>
      </w:r>
    </w:p>
    <w:p>
      <w:pPr>
        <w:pStyle w:val="Heading3"/>
      </w:pPr>
      <w:r>
        <w:t>Position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Position</w:t>
            </w:r>
          </w:p>
        </w:tc>
        <w:tc>
          <w:tcPr>
            <w:tcW w:type="dxa" w:w="2160"/>
          </w:tcPr>
          <w:p>
            <w:r>
              <w:t>Bemessungsgrundlage EUR</w:t>
            </w:r>
          </w:p>
        </w:tc>
        <w:tc>
          <w:tcPr>
            <w:tcW w:type="dxa" w:w="2160"/>
          </w:tcPr>
          <w:p>
            <w:r>
              <w:t>Steuersatz</w:t>
            </w:r>
          </w:p>
        </w:tc>
        <w:tc>
          <w:tcPr>
            <w:tcW w:type="dxa" w:w="2160"/>
          </w:tcPr>
          <w:p>
            <w:r>
              <w:t>Steuerbetrag EUR</w:t>
            </w:r>
          </w:p>
        </w:tc>
      </w:tr>
      <w:tr>
        <w:tc>
          <w:tcPr>
            <w:tcW w:type="dxa" w:w="2160"/>
          </w:tcPr>
          <w:p>
            <w:r>
              <w:t>Steuerpflichtige Umsaetze § 15 Abs. 1 Nr. 1 UStG</w:t>
            </w:r>
          </w:p>
        </w:tc>
        <w:tc>
          <w:tcPr>
            <w:tcW w:type="dxa" w:w="2160"/>
          </w:tcPr>
          <w:p>
            <w:r>
              <w:t>8.910.420,18</w:t>
            </w:r>
          </w:p>
        </w:tc>
        <w:tc>
          <w:tcPr>
            <w:tcW w:type="dxa" w:w="2160"/>
          </w:tcPr>
          <w:p>
            <w:r>
              <w:t>19 %</w:t>
            </w:r>
          </w:p>
        </w:tc>
        <w:tc>
          <w:tcPr>
            <w:tcW w:type="dxa" w:w="2160"/>
          </w:tcPr>
          <w:p>
            <w:r>
              <w:t>1.692.979,83</w:t>
            </w:r>
          </w:p>
        </w:tc>
      </w:tr>
      <w:tr>
        <w:tc>
          <w:tcPr>
            <w:tcW w:type="dxa" w:w="2160"/>
          </w:tcPr>
          <w:p>
            <w:r>
              <w:t>Steuerpflichtige Umsaetze ermaessigter Satz</w:t>
            </w:r>
          </w:p>
        </w:tc>
        <w:tc>
          <w:tcPr>
            <w:tcW w:type="dxa" w:w="2160"/>
          </w:tcPr>
          <w:p>
            <w:r>
              <w:t>0,00</w:t>
            </w:r>
          </w:p>
        </w:tc>
        <w:tc>
          <w:tcPr>
            <w:tcW w:type="dxa" w:w="2160"/>
          </w:tcPr>
          <w:p>
            <w:r>
              <w:t>7 %</w:t>
            </w:r>
          </w:p>
        </w:tc>
        <w:tc>
          <w:tcPr>
            <w:tcW w:type="dxa" w:w="2160"/>
          </w:tcPr>
          <w:p>
            <w:r>
              <w:t>0,00</w:t>
            </w:r>
          </w:p>
        </w:tc>
      </w:tr>
      <w:tr>
        <w:tc>
          <w:tcPr>
            <w:tcW w:type="dxa" w:w="2160"/>
          </w:tcPr>
          <w:p>
            <w:r>
              <w:t>Innergemeinschaftliche Lieferungen § 4 Nr. 1b</w:t>
            </w:r>
          </w:p>
        </w:tc>
        <w:tc>
          <w:tcPr>
            <w:tcW w:type="dxa" w:w="2160"/>
          </w:tcPr>
          <w:p>
            <w:r>
              <w:t>1.940.382,00</w:t>
            </w:r>
          </w:p>
        </w:tc>
        <w:tc>
          <w:tcPr>
            <w:tcW w:type="dxa" w:w="2160"/>
          </w:tcPr>
          <w:p>
            <w:r>
              <w:t>0 %</w:t>
            </w:r>
          </w:p>
        </w:tc>
        <w:tc>
          <w:tcPr>
            <w:tcW w:type="dxa" w:w="2160"/>
          </w:tcPr>
          <w:p>
            <w:r>
              <w:t>0,00</w:t>
            </w:r>
          </w:p>
        </w:tc>
      </w:tr>
      <w:tr>
        <w:tc>
          <w:tcPr>
            <w:tcW w:type="dxa" w:w="2160"/>
          </w:tcPr>
          <w:p>
            <w:r>
              <w:t>Ausfuhrlieferungen § 4 Nr. 1a</w:t>
            </w:r>
          </w:p>
        </w:tc>
        <w:tc>
          <w:tcPr>
            <w:tcW w:type="dxa" w:w="2160"/>
          </w:tcPr>
          <w:p>
            <w:r>
              <w:t>812.500,00</w:t>
            </w:r>
          </w:p>
        </w:tc>
        <w:tc>
          <w:tcPr>
            <w:tcW w:type="dxa" w:w="2160"/>
          </w:tcPr>
          <w:p>
            <w:r>
              <w:t>0 %</w:t>
            </w:r>
          </w:p>
        </w:tc>
        <w:tc>
          <w:tcPr>
            <w:tcW w:type="dxa" w:w="2160"/>
          </w:tcPr>
          <w:p>
            <w:r>
              <w:t>0,00</w:t>
            </w:r>
          </w:p>
        </w:tc>
      </w:tr>
      <w:tr>
        <w:tc>
          <w:tcPr>
            <w:tcW w:type="dxa" w:w="2160"/>
          </w:tcPr>
          <w:p>
            <w:r>
              <w:t>Innergemeinschaftliche Erwerbe</w:t>
            </w:r>
          </w:p>
        </w:tc>
        <w:tc>
          <w:tcPr>
            <w:tcW w:type="dxa" w:w="2160"/>
          </w:tcPr>
          <w:p>
            <w:r>
              <w:t>318.200,00</w:t>
            </w:r>
          </w:p>
        </w:tc>
        <w:tc>
          <w:tcPr>
            <w:tcW w:type="dxa" w:w="2160"/>
          </w:tcPr>
          <w:p>
            <w:r>
              <w:t>19 %</w:t>
            </w:r>
          </w:p>
        </w:tc>
        <w:tc>
          <w:tcPr>
            <w:tcW w:type="dxa" w:w="2160"/>
          </w:tcPr>
          <w:p>
            <w:r>
              <w:t>60.458,00</w:t>
            </w:r>
          </w:p>
        </w:tc>
      </w:tr>
      <w:tr>
        <w:tc>
          <w:tcPr>
            <w:tcW w:type="dxa" w:w="2160"/>
          </w:tcPr>
          <w:p>
            <w:r>
              <w:t>Vorsteuer aus Eingangsrechnungen</w:t>
            </w:r>
          </w:p>
        </w:tc>
        <w:tc>
          <w:tcPr>
            <w:tcW w:type="dxa" w:w="2160"/>
          </w:tcPr>
          <w:p>
            <w:r/>
          </w:p>
        </w:tc>
        <w:tc>
          <w:tcPr>
            <w:tcW w:type="dxa" w:w="2160"/>
          </w:tcPr>
          <w:p>
            <w:r/>
          </w:p>
        </w:tc>
        <w:tc>
          <w:tcPr>
            <w:tcW w:type="dxa" w:w="2160"/>
          </w:tcPr>
          <w:p>
            <w:r>
              <w:t>-892.412,40</w:t>
            </w:r>
          </w:p>
        </w:tc>
      </w:tr>
      <w:tr>
        <w:tc>
          <w:tcPr>
            <w:tcW w:type="dxa" w:w="2160"/>
          </w:tcPr>
          <w:p>
            <w:r>
              <w:t>Vorsteuer i. g. Erwerbe</w:t>
            </w:r>
          </w:p>
        </w:tc>
        <w:tc>
          <w:tcPr>
            <w:tcW w:type="dxa" w:w="2160"/>
          </w:tcPr>
          <w:p>
            <w:r/>
          </w:p>
        </w:tc>
        <w:tc>
          <w:tcPr>
            <w:tcW w:type="dxa" w:w="2160"/>
          </w:tcPr>
          <w:p>
            <w:r/>
          </w:p>
        </w:tc>
        <w:tc>
          <w:tcPr>
            <w:tcW w:type="dxa" w:w="2160"/>
          </w:tcPr>
          <w:p>
            <w:r>
              <w:t>-60.458,00</w:t>
            </w:r>
          </w:p>
        </w:tc>
      </w:tr>
      <w:tr>
        <w:tc>
          <w:tcPr>
            <w:tcW w:type="dxa" w:w="2160"/>
          </w:tcPr>
          <w:p>
            <w:r>
              <w:t>Reverse-Charge (§ 13b UStG)</w:t>
            </w:r>
          </w:p>
        </w:tc>
        <w:tc>
          <w:tcPr>
            <w:tcW w:type="dxa" w:w="2160"/>
          </w:tcPr>
          <w:p>
            <w:r>
              <w:t>82.500,00</w:t>
            </w:r>
          </w:p>
        </w:tc>
        <w:tc>
          <w:tcPr>
            <w:tcW w:type="dxa" w:w="2160"/>
          </w:tcPr>
          <w:p>
            <w:r>
              <w:t>19 %</w:t>
            </w:r>
          </w:p>
        </w:tc>
        <w:tc>
          <w:tcPr>
            <w:tcW w:type="dxa" w:w="2160"/>
          </w:tcPr>
          <w:p>
            <w:r>
              <w:t>15.675,00</w:t>
            </w:r>
          </w:p>
        </w:tc>
      </w:tr>
      <w:tr>
        <w:tc>
          <w:tcPr>
            <w:tcW w:type="dxa" w:w="2160"/>
          </w:tcPr>
          <w:p>
            <w:r>
              <w:t>VS aus Reverse-Charge</w:t>
            </w:r>
          </w:p>
        </w:tc>
        <w:tc>
          <w:tcPr>
            <w:tcW w:type="dxa" w:w="2160"/>
          </w:tcPr>
          <w:p>
            <w:r/>
          </w:p>
        </w:tc>
        <w:tc>
          <w:tcPr>
            <w:tcW w:type="dxa" w:w="2160"/>
          </w:tcPr>
          <w:p>
            <w:r/>
          </w:p>
        </w:tc>
        <w:tc>
          <w:tcPr>
            <w:tcW w:type="dxa" w:w="2160"/>
          </w:tcPr>
          <w:p>
            <w:r>
              <w:t>-15.675,00</w:t>
            </w:r>
          </w:p>
        </w:tc>
      </w:tr>
      <w:tr>
        <w:tc>
          <w:tcPr>
            <w:tcW w:type="dxa" w:w="2160"/>
          </w:tcPr>
          <w:p>
            <w:r>
              <w:t>SUMME Zahllast</w:t>
            </w:r>
          </w:p>
        </w:tc>
        <w:tc>
          <w:tcPr>
            <w:tcW w:type="dxa" w:w="2160"/>
          </w:tcPr>
          <w:p>
            <w:r/>
          </w:p>
        </w:tc>
        <w:tc>
          <w:tcPr>
            <w:tcW w:type="dxa" w:w="2160"/>
          </w:tcPr>
          <w:p>
            <w:r/>
          </w:p>
        </w:tc>
        <w:tc>
          <w:tcPr>
            <w:tcW w:type="dxa" w:w="2160"/>
          </w:tcPr>
          <w:p>
            <w:r>
              <w:t>800.567,43</w:t>
            </w:r>
          </w:p>
        </w:tc>
      </w:tr>
    </w:tbl>
    <w:p>
      <w:pPr>
        <w:pStyle w:val="Heading3"/>
      </w:pPr>
      <w:r>
        <w:t>Erlaeuterungen</w:t>
      </w:r>
    </w:p>
    <w:p>
      <w:r>
        <w:t>Die Innergemeinschaftlichen Lieferungen entfallen schwerpunktmaessig auf Auftraege fuer Stellantis Eisenach (Werk Frankreich) und VW Bratislava (Slowakei). Die Ausfuhrlieferungen entfallen auf den Auftrag Dürr AG fuer das Werk Queretaro (Mexiko). Innergemeinschaftliche Erwerbe betreffen Servo-Antriebskomponenten der Siemens AG Oesterreich (Wien). Reverse-Charge betrifft Beratungsleistungen auslaendischer Berater (Roland Berger Schweiz, McKinsey UK).</w:t>
      </w:r>
    </w:p>
    <w:p>
      <w:pPr>
        <w:pStyle w:val="Heading3"/>
      </w:pPr>
      <w:r>
        <w:t>Zahlung</w:t>
      </w:r>
    </w:p>
    <w:p>
      <w:r>
        <w:t>Die ermittelte Zahllast in Hoehe von 800.567,43 EUR wurde am 10. Januar 2024 fristgerecht vom Geschaeftskonto Deutsche Bank AG ueberwiesen. Eine SEPA-Lastschriftbevollmaechtigung des Finanzamtes besteht; auf den Lastschrifteinzug wurde ausnahmsweise verzichtet aufgrund Liquiditaetsoptimierung Quartalsende.</w:t>
      </w:r>
    </w:p>
    <w:p>
      <w:pPr>
        <w:pStyle w:val="Heading3"/>
      </w:pPr>
      <w:r>
        <w:t>Erstellt durch</w:t>
      </w:r>
    </w:p>
    <w:p>
      <w:r>
        <w:t>KPMG AG Wirtschaftspruefungsgesellschaft, Standort Koeln, Frau StB Dr. Carola Lindner. Internes Review durch Sandra Becker (CFO) am 8. Januar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