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Wertpapier- und Festgeldanlagen 2023 – Halbreiter Maschinenbau GmbH</w:t>
      </w:r>
    </w:p>
    <w:p>
      <w:pPr>
        <w:jc w:val="center"/>
      </w:pPr>
      <w:r>
        <w:t>Aufstellung der liquiden Mittel (Anlage gemaess Treasury-Richtlinie)</w:t>
      </w:r>
    </w:p>
    <w:p/>
    <w:p>
      <w:pPr>
        <w:pStyle w:val="Heading3"/>
      </w:pPr>
      <w:r>
        <w:t>Anlagepolitik</w:t>
      </w:r>
    </w:p>
    <w:p>
      <w:r>
        <w:t>Die Treasury-Richtlinie der Gesellschaft (Stand 1. Januar 2023) erlaubt ausschliesslich Anlagen in Geldmarktinstrumenten und Anlagen mit Investment-Grade-Rating (Mindestrating: A bei Standard &amp; Poor's). Aktienanlagen und derivative Instrumente sind ausgeschlossen. Anlageziel: Kapitalerhalt und Liquiditaetssicherung.</w:t>
      </w:r>
    </w:p>
    <w:p>
      <w:pPr>
        <w:pStyle w:val="Heading3"/>
      </w:pPr>
      <w:r>
        <w:t>Anlagen zum 31. Dezember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Anlage</w:t>
            </w:r>
          </w:p>
        </w:tc>
        <w:tc>
          <w:tcPr>
            <w:tcW w:type="dxa" w:w="1440"/>
          </w:tcPr>
          <w:p>
            <w:r>
              <w:t>Emittent / Bank</w:t>
            </w:r>
          </w:p>
        </w:tc>
        <w:tc>
          <w:tcPr>
            <w:tcW w:type="dxa" w:w="1440"/>
          </w:tcPr>
          <w:p>
            <w:r>
              <w:t>Volumen EUR</w:t>
            </w:r>
          </w:p>
        </w:tc>
        <w:tc>
          <w:tcPr>
            <w:tcW w:type="dxa" w:w="1440"/>
          </w:tcPr>
          <w:p>
            <w:r>
              <w:t>Zinssatz</w:t>
            </w:r>
          </w:p>
        </w:tc>
        <w:tc>
          <w:tcPr>
            <w:tcW w:type="dxa" w:w="1440"/>
          </w:tcPr>
          <w:p>
            <w:r>
              <w:t>Laufzeit</w:t>
            </w:r>
          </w:p>
        </w:tc>
        <w:tc>
          <w:tcPr>
            <w:tcW w:type="dxa" w:w="1440"/>
          </w:tcPr>
          <w:p>
            <w:r>
              <w:t>Rating</w:t>
            </w:r>
          </w:p>
        </w:tc>
      </w:tr>
      <w:tr>
        <w:tc>
          <w:tcPr>
            <w:tcW w:type="dxa" w:w="1440"/>
          </w:tcPr>
          <w:p>
            <w:r>
              <w:t>Festgeld 12M</w:t>
            </w:r>
          </w:p>
        </w:tc>
        <w:tc>
          <w:tcPr>
            <w:tcW w:type="dxa" w:w="1440"/>
          </w:tcPr>
          <w:p>
            <w:r>
              <w:t>Deutsche Bank AG</w:t>
            </w:r>
          </w:p>
        </w:tc>
        <w:tc>
          <w:tcPr>
            <w:tcW w:type="dxa" w:w="1440"/>
          </w:tcPr>
          <w:p>
            <w:r>
              <w:t>1.500.000,00</w:t>
            </w:r>
          </w:p>
        </w:tc>
        <w:tc>
          <w:tcPr>
            <w:tcW w:type="dxa" w:w="1440"/>
          </w:tcPr>
          <w:p>
            <w:r>
              <w:t>3,45 % p. a.</w:t>
            </w:r>
          </w:p>
        </w:tc>
        <w:tc>
          <w:tcPr>
            <w:tcW w:type="dxa" w:w="1440"/>
          </w:tcPr>
          <w:p>
            <w:r>
              <w:t>12.03.2024</w:t>
            </w:r>
          </w:p>
        </w:tc>
        <w:tc>
          <w:tcPr>
            <w:tcW w:type="dxa" w:w="1440"/>
          </w:tcPr>
          <w:p>
            <w:r>
              <w:t>A (S&amp;P)</w:t>
            </w:r>
          </w:p>
        </w:tc>
      </w:tr>
      <w:tr>
        <w:tc>
          <w:tcPr>
            <w:tcW w:type="dxa" w:w="1440"/>
          </w:tcPr>
          <w:p>
            <w:r>
              <w:t>Festgeld 6M</w:t>
            </w:r>
          </w:p>
        </w:tc>
        <w:tc>
          <w:tcPr>
            <w:tcW w:type="dxa" w:w="1440"/>
          </w:tcPr>
          <w:p>
            <w:r>
              <w:t>DZ Bank AG</w:t>
            </w:r>
          </w:p>
        </w:tc>
        <w:tc>
          <w:tcPr>
            <w:tcW w:type="dxa" w:w="1440"/>
          </w:tcPr>
          <w:p>
            <w:r>
              <w:t>1.000.000,00</w:t>
            </w:r>
          </w:p>
        </w:tc>
        <w:tc>
          <w:tcPr>
            <w:tcW w:type="dxa" w:w="1440"/>
          </w:tcPr>
          <w:p>
            <w:r>
              <w:t>3,18 % p. a.</w:t>
            </w:r>
          </w:p>
        </w:tc>
        <w:tc>
          <w:tcPr>
            <w:tcW w:type="dxa" w:w="1440"/>
          </w:tcPr>
          <w:p>
            <w:r>
              <w:t>15.04.2024</w:t>
            </w:r>
          </w:p>
        </w:tc>
        <w:tc>
          <w:tcPr>
            <w:tcW w:type="dxa" w:w="1440"/>
          </w:tcPr>
          <w:p>
            <w:r>
              <w:t>AA- (S&amp;P)</w:t>
            </w:r>
          </w:p>
        </w:tc>
      </w:tr>
      <w:tr>
        <w:tc>
          <w:tcPr>
            <w:tcW w:type="dxa" w:w="1440"/>
          </w:tcPr>
          <w:p>
            <w:r>
              <w:t>Tagesgeld</w:t>
            </w:r>
          </w:p>
        </w:tc>
        <w:tc>
          <w:tcPr>
            <w:tcW w:type="dxa" w:w="1440"/>
          </w:tcPr>
          <w:p>
            <w:r>
              <w:t>Sparkasse KoelnBonn</w:t>
            </w:r>
          </w:p>
        </w:tc>
        <w:tc>
          <w:tcPr>
            <w:tcW w:type="dxa" w:w="1440"/>
          </w:tcPr>
          <w:p>
            <w:r>
              <w:t>800.000,00</w:t>
            </w:r>
          </w:p>
        </w:tc>
        <w:tc>
          <w:tcPr>
            <w:tcW w:type="dxa" w:w="1440"/>
          </w:tcPr>
          <w:p>
            <w:r>
              <w:t>2,75 % p. a.</w:t>
            </w:r>
          </w:p>
        </w:tc>
        <w:tc>
          <w:tcPr>
            <w:tcW w:type="dxa" w:w="1440"/>
          </w:tcPr>
          <w:p>
            <w:r>
              <w:t>taeglich</w:t>
            </w:r>
          </w:p>
        </w:tc>
        <w:tc>
          <w:tcPr>
            <w:tcW w:type="dxa" w:w="1440"/>
          </w:tcPr>
          <w:p>
            <w:r>
              <w:t>A+ (S&amp;P)</w:t>
            </w:r>
          </w:p>
        </w:tc>
      </w:tr>
      <w:tr>
        <w:tc>
          <w:tcPr>
            <w:tcW w:type="dxa" w:w="1440"/>
          </w:tcPr>
          <w:p>
            <w:r>
              <w:t>Bundesanleihe 0,5 % 15.02.2026</w:t>
            </w:r>
          </w:p>
        </w:tc>
        <w:tc>
          <w:tcPr>
            <w:tcW w:type="dxa" w:w="1440"/>
          </w:tcPr>
          <w:p>
            <w:r>
              <w:t>Bundesrepublik Deutschland</w:t>
            </w:r>
          </w:p>
        </w:tc>
        <w:tc>
          <w:tcPr>
            <w:tcW w:type="dxa" w:w="1440"/>
          </w:tcPr>
          <w:p>
            <w:r>
              <w:t>500.000,00</w:t>
            </w:r>
          </w:p>
        </w:tc>
        <w:tc>
          <w:tcPr>
            <w:tcW w:type="dxa" w:w="1440"/>
          </w:tcPr>
          <w:p>
            <w:r>
              <w:t>Kurs 96,2 %</w:t>
            </w:r>
          </w:p>
        </w:tc>
        <w:tc>
          <w:tcPr>
            <w:tcW w:type="dxa" w:w="1440"/>
          </w:tcPr>
          <w:p>
            <w:r>
              <w:t>15.02.2026</w:t>
            </w:r>
          </w:p>
        </w:tc>
        <w:tc>
          <w:tcPr>
            <w:tcW w:type="dxa" w:w="1440"/>
          </w:tcPr>
          <w:p>
            <w:r>
              <w:t>AAA</w:t>
            </w:r>
          </w:p>
        </w:tc>
      </w:tr>
      <w:tr>
        <w:tc>
          <w:tcPr>
            <w:tcW w:type="dxa" w:w="1440"/>
          </w:tcPr>
          <w:p>
            <w:r>
              <w:t>Pfandbrief 1,25 % 02.04.2025</w:t>
            </w:r>
          </w:p>
        </w:tc>
        <w:tc>
          <w:tcPr>
            <w:tcW w:type="dxa" w:w="1440"/>
          </w:tcPr>
          <w:p>
            <w:r>
              <w:t>Aareal Bank AG</w:t>
            </w:r>
          </w:p>
        </w:tc>
        <w:tc>
          <w:tcPr>
            <w:tcW w:type="dxa" w:w="1440"/>
          </w:tcPr>
          <w:p>
            <w:r>
              <w:t>400.000,00</w:t>
            </w:r>
          </w:p>
        </w:tc>
        <w:tc>
          <w:tcPr>
            <w:tcW w:type="dxa" w:w="1440"/>
          </w:tcPr>
          <w:p>
            <w:r>
              <w:t>Kurs 98,1 %</w:t>
            </w:r>
          </w:p>
        </w:tc>
        <w:tc>
          <w:tcPr>
            <w:tcW w:type="dxa" w:w="1440"/>
          </w:tcPr>
          <w:p>
            <w:r>
              <w:t>02.04.2025</w:t>
            </w:r>
          </w:p>
        </w:tc>
        <w:tc>
          <w:tcPr>
            <w:tcW w:type="dxa" w:w="1440"/>
          </w:tcPr>
          <w:p>
            <w:r>
              <w:t>A+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SUMME</w:t>
            </w:r>
          </w:p>
        </w:tc>
        <w:tc>
          <w:tcPr>
            <w:tcW w:type="dxa" w:w="1440"/>
          </w:tcPr>
          <w:p>
            <w:r>
              <w:t>4.200.000,00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Ertragsuebersicht 2023</w:t>
      </w:r>
    </w:p>
    <w:p>
      <w:r>
        <w:t>Zins- und Ertragsergebnis aus Geldanlagen 2023: 118.420 EUR (Vorjahr 38.250 EUR). Die signifikante Steigerung resultiert aus der gestiegenen Zinslandschaft (EZB-Leitzins) sowie der konsequenten Anlage temporaer freier Liquiditaet. Buchung im Finanzergebnis Konto 7610 'Sonstige Zinsertraege'.</w:t>
      </w:r>
    </w:p>
    <w:p>
      <w:pPr>
        <w:pStyle w:val="Heading3"/>
      </w:pPr>
      <w:r>
        <w:t>Vorgaben</w:t>
      </w:r>
    </w:p>
    <w:p>
      <w:r>
        <w:t>Die Geschaeftsfuehrung berichtet quartalsweise im Rahmen des Treasury-Reports an die Beirats- und Gesellschaftersitzung. Eine Anpassung der Treasury-Richtlinie auf eine erweiterte Anlageklasse (z. B. ESG-Geldmarktfonds) ist fuer 2024 in Pruefung.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