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Factoring-Rahmenvertrag 2023 – Targo Commercial Finance AG</w:t>
      </w:r>
    </w:p>
    <w:p>
      <w:pPr>
        <w:jc w:val="center"/>
      </w:pPr>
      <w:r>
        <w:t>Vertrag Nr. TCF-2023-MMB-0091 vom 11. April 2023</w:t>
      </w:r>
    </w:p>
    <w:p/>
    <w:p>
      <w:pPr>
        <w:pStyle w:val="Heading3"/>
      </w:pPr>
      <w:r>
        <w:t>Vertragsparteien</w:t>
      </w:r>
    </w:p>
    <w:p>
      <w:r>
        <w:t>Factor: Targo Commercial Finance AG, Postfach 10 22 80, 40013 Duesseldorf.</w:t>
      </w:r>
    </w:p>
    <w:p>
      <w:r>
        <w:t>Anschlusskunde: Halbreiter Maschinenbau GmbH, Industriestrasse 12, 50829 Koeln.</w:t>
      </w:r>
    </w:p>
    <w:p>
      <w:pPr>
        <w:pStyle w:val="Heading3"/>
      </w:pPr>
      <w:r>
        <w:t>Praeambel</w:t>
      </w:r>
    </w:p>
    <w:p>
      <w:r>
        <w:t>Im Rahmen der Optimierung des Working Capital schliesst die Halbreiter Maschinenbau GmbH einen echten Factoringvertrag (true sale) mit Uebernahme des Delkredererisikos (non-recourse) zur Liquiditaetssicherung des Auslandsgeschaeftes ab. Die einbezogenen Debitoren werden im Anhang 1 abschliessend gelistet (Anlage 'Debitorenkreis').</w:t>
      </w:r>
    </w:p>
    <w:p>
      <w:pPr>
        <w:pStyle w:val="Heading3"/>
      </w:pPr>
      <w:r>
        <w:t>Konditionen</w:t>
      </w:r>
    </w:p>
    <w:p>
      <w:pPr>
        <w:pStyle w:val="Heading4"/>
      </w:pPr>
      <w:r>
        <w:t>§ 1 Eingeraeumter Factoringrahmen</w:t>
      </w:r>
    </w:p>
    <w:p>
      <w:r>
        <w:rPr>
          <w:b/>
        </w:rPr>
        <w:t xml:space="preserve">(1) </w:t>
      </w:r>
      <w:r>
        <w:t>Der Factor stellt einen Rahmen von 5,0 Mio. EUR (rollierend) zur Verfuegung.</w:t>
      </w:r>
    </w:p>
    <w:p>
      <w:r>
        <w:rPr>
          <w:b/>
        </w:rPr>
        <w:t xml:space="preserve">(2) </w:t>
      </w:r>
      <w:r>
        <w:t>Der Vorschuss betraegt 90 % der angekauften Forderung; Restkaufpreis (10 %) wird nach Eingang der Zahlung beim Factor freigegeben.</w:t>
      </w:r>
    </w:p>
    <w:p>
      <w:pPr>
        <w:pStyle w:val="Heading4"/>
      </w:pPr>
      <w:r>
        <w:t>§ 2 Factoringgebuehr und Zinsen</w:t>
      </w:r>
    </w:p>
    <w:p>
      <w:r>
        <w:rPr>
          <w:b/>
        </w:rPr>
        <w:t xml:space="preserve">(1) </w:t>
      </w:r>
      <w:r>
        <w:t>Factoringgebuehr: 0,42 % je angekaufter Forderung.</w:t>
      </w:r>
    </w:p>
    <w:p>
      <w:r>
        <w:rPr>
          <w:b/>
        </w:rPr>
        <w:t xml:space="preserve">(2) </w:t>
      </w:r>
      <w:r>
        <w:t>Vorfinanzierungszins: EURIBOR 3M + 1,75 % p. a., berechnet auf Tagesbasis.</w:t>
      </w:r>
    </w:p>
    <w:p>
      <w:r>
        <w:rPr>
          <w:b/>
        </w:rPr>
        <w:t xml:space="preserve">(3) </w:t>
      </w:r>
      <w:r>
        <w:t>Bonitaetspruefung: jaehrliche Pauschale 8.500 EUR.</w:t>
      </w:r>
    </w:p>
    <w:p>
      <w:pPr>
        <w:pStyle w:val="Heading4"/>
      </w:pPr>
      <w:r>
        <w:t>§ 3 Debitorenkreis</w:t>
      </w:r>
    </w:p>
    <w:p>
      <w:r>
        <w:rPr>
          <w:b/>
        </w:rPr>
        <w:t xml:space="preserve">(1) </w:t>
      </w:r>
      <w:r>
        <w:t>Eingeschlossen sind Forderungen gegenueber Debitoren mit Sitz innerhalb der EU sowie den USA, der Schweiz, dem Vereinigten Koenigreich, Mexiko und der Republik Korea.</w:t>
      </w:r>
    </w:p>
    <w:p>
      <w:r>
        <w:rPr>
          <w:b/>
        </w:rPr>
        <w:t xml:space="preserve">(2) </w:t>
      </w:r>
      <w:r>
        <w:t>Ausgeschlossen sind Forderungen gegen verbundene Unternehmen, oeffentliche Auftraggeber und Privatkunden.</w:t>
      </w:r>
    </w:p>
    <w:p>
      <w:pPr>
        <w:pStyle w:val="Heading4"/>
      </w:pPr>
      <w:r>
        <w:t>§ 4 Bonitaetslimits</w:t>
      </w:r>
    </w:p>
    <w:p>
      <w:r>
        <w:rPr>
          <w:b/>
        </w:rPr>
        <w:t xml:space="preserve">(1) </w:t>
      </w:r>
      <w:r>
        <w:t>Limits werden je Debitor individuell vom Factor festgelegt und der Anschlusskundin in einer Limitliste mitgeteilt. Bei Aufstockungen entscheidet der Factor binnen 10 Bankarbeitstagen.</w:t>
      </w:r>
    </w:p>
    <w:p>
      <w:pPr>
        <w:pStyle w:val="Heading4"/>
      </w:pPr>
      <w:r>
        <w:t>§ 5 Laufzeit und Kuendigung</w:t>
      </w:r>
    </w:p>
    <w:p>
      <w:r>
        <w:rPr>
          <w:b/>
        </w:rPr>
        <w:t xml:space="preserve">(1) </w:t>
      </w:r>
      <w:r>
        <w:t>Laufzeit: 36 Monate ab 1. Mai 2023, automatische Verlaengerung um jeweils 12 Monate, soweit nicht spaetestens 3 Monate vor Ablauf gekuendigt wird.</w:t>
      </w:r>
    </w:p>
    <w:p>
      <w:pPr>
        <w:pStyle w:val="Heading3"/>
      </w:pPr>
      <w:r>
        <w:t>Buchhalterische Behandlung</w:t>
      </w:r>
    </w:p>
    <w:p>
      <w:r>
        <w:t>Aufgrund der Risikoabnahme erfolgt der Forderungsverkauf bilanziell als Abgang im Sinne des IDW RS HFA 8 (Bilanzbefreiungswirkung). Im HGB-Einzelabschluss wird die Forderung beim Verkauf an den Factor ausgebucht. Die Auswirkungen auf die Bilanzkennzahlen (Verkuerzung der Bilanzsumme um ca. 4,8 Mio. EUR, Verbesserung der DSO um 12 Tage) wurden mit der BDO AG WPG abgestimmt (Memo vom 28.03.2023).</w:t>
      </w:r>
    </w:p>
    <w:p>
      <w:pPr>
        <w:pStyle w:val="Heading3"/>
      </w:pPr>
      <w:r>
        <w:t>Unterschriften</w:t>
      </w:r>
    </w:p>
    <w:p>
      <w:r>
        <w:t>Ort, Datum: Koeln / Duesseldorf, den 11. April 2023</w:t>
      </w:r>
    </w:p>
    <w:p>
      <w:r>
        <w:t>_________________________            _________________________</w:t>
        <w:br/>
        <w:t>Sandra Becker                          Dr. Ulrike Sommer</w:t>
        <w:br/>
        <w:t>Geschaeftsfuehrerin / CFO                          Prokuristin</w:t>
        <w:br/>
        <w:t>Halbreiter Maschinenbau GmbH                       Targo Commercial Finance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