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Halbreiter Maschinenbau GmbH</w:t>
      </w:r>
    </w:p>
    <w:p>
      <w:r>
        <w:rPr>
          <w:sz w:val="18"/>
        </w:rPr>
        <w:t>Industriestraße 12, 50829 Köln  |  HRB 47312, Amtsgericht Köln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Kennzahlenblatt Jahresabschluss 2023</w:t>
      </w:r>
    </w:p>
    <w:p>
      <w:pPr>
        <w:jc w:val="center"/>
      </w:pPr>
      <w:r>
        <w:t>Halbreiter Maschinenbau GmbH – Stand 7. Mai 2024</w:t>
      </w:r>
    </w:p>
    <w:p/>
    <w:p>
      <w:pPr>
        <w:pStyle w:val="Heading3"/>
      </w:pPr>
      <w:r>
        <w:t>Ueberblick</w:t>
      </w:r>
    </w:p>
    <w:p>
      <w:r>
        <w:t>Das Geschaeftsjahr 2023 verlief mit einer Umsatzsteigerung um 12,4 % auf 48,63 Mio. EUR deutlich ueber Plan. Wesentliche Treiber waren der Einstieg der Bosch Rexroth AG mit zwei Pressenlinien (PL-500), eine signifikante Volumenerhoehung bei der Dürr AG sowie das Anlaufen der neuen Laserschneidanlage LS-800 fuer Hella GmbH &amp; Co. KGaA. EBITDA stieg ueberproportional auf 5,98 Mio. EUR (Marge 12,3 %).</w:t>
      </w:r>
    </w:p>
    <w:p>
      <w:pPr>
        <w:pStyle w:val="Heading3"/>
      </w:pPr>
      <w:r>
        <w:t>Kennzahlen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KPI</w:t>
            </w:r>
          </w:p>
        </w:tc>
        <w:tc>
          <w:tcPr>
            <w:tcW w:type="dxa" w:w="1728"/>
          </w:tcPr>
          <w:p>
            <w:r>
              <w:t>2023</w:t>
            </w:r>
          </w:p>
        </w:tc>
        <w:tc>
          <w:tcPr>
            <w:tcW w:type="dxa" w:w="1728"/>
          </w:tcPr>
          <w:p>
            <w:r>
              <w:t>2022</w:t>
            </w:r>
          </w:p>
        </w:tc>
        <w:tc>
          <w:tcPr>
            <w:tcW w:type="dxa" w:w="1728"/>
          </w:tcPr>
          <w:p>
            <w:r>
              <w:t>2021</w:t>
            </w:r>
          </w:p>
        </w:tc>
        <w:tc>
          <w:tcPr>
            <w:tcW w:type="dxa" w:w="1728"/>
          </w:tcPr>
          <w:p>
            <w:r>
              <w:t>Trend</w:t>
            </w:r>
          </w:p>
        </w:tc>
      </w:tr>
      <w:tr>
        <w:tc>
          <w:tcPr>
            <w:tcW w:type="dxa" w:w="1728"/>
          </w:tcPr>
          <w:p>
            <w:r>
              <w:t>Umsatzerloese (EUR)</w:t>
            </w:r>
          </w:p>
        </w:tc>
        <w:tc>
          <w:tcPr>
            <w:tcW w:type="dxa" w:w="1728"/>
          </w:tcPr>
          <w:p>
            <w:r>
              <w:t>48,63 Mio.</w:t>
            </w:r>
          </w:p>
        </w:tc>
        <w:tc>
          <w:tcPr>
            <w:tcW w:type="dxa" w:w="1728"/>
          </w:tcPr>
          <w:p>
            <w:r>
              <w:t>43,25 Mio.</w:t>
            </w:r>
          </w:p>
        </w:tc>
        <w:tc>
          <w:tcPr>
            <w:tcW w:type="dxa" w:w="1728"/>
          </w:tcPr>
          <w:p>
            <w:r>
              <w:t>41,90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EBITDA (EUR)</w:t>
            </w:r>
          </w:p>
        </w:tc>
        <w:tc>
          <w:tcPr>
            <w:tcW w:type="dxa" w:w="1728"/>
          </w:tcPr>
          <w:p>
            <w:r>
              <w:t>5,98 Mio.</w:t>
            </w:r>
          </w:p>
        </w:tc>
        <w:tc>
          <w:tcPr>
            <w:tcW w:type="dxa" w:w="1728"/>
          </w:tcPr>
          <w:p>
            <w:r>
              <w:t>5,10 Mio.</w:t>
            </w:r>
          </w:p>
        </w:tc>
        <w:tc>
          <w:tcPr>
            <w:tcW w:type="dxa" w:w="1728"/>
          </w:tcPr>
          <w:p>
            <w:r>
              <w:t>4,80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EBITDA-Marge</w:t>
            </w:r>
          </w:p>
        </w:tc>
        <w:tc>
          <w:tcPr>
            <w:tcW w:type="dxa" w:w="1728"/>
          </w:tcPr>
          <w:p>
            <w:r>
              <w:t>12,3 %</w:t>
            </w:r>
          </w:p>
        </w:tc>
        <w:tc>
          <w:tcPr>
            <w:tcW w:type="dxa" w:w="1728"/>
          </w:tcPr>
          <w:p>
            <w:r>
              <w:t>11,8 %</w:t>
            </w:r>
          </w:p>
        </w:tc>
        <w:tc>
          <w:tcPr>
            <w:tcW w:type="dxa" w:w="1728"/>
          </w:tcPr>
          <w:p>
            <w:r>
              <w:t>11,5 %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EBIT (EUR)</w:t>
            </w:r>
          </w:p>
        </w:tc>
        <w:tc>
          <w:tcPr>
            <w:tcW w:type="dxa" w:w="1728"/>
          </w:tcPr>
          <w:p>
            <w:r>
              <w:t>3,89 Mio.</w:t>
            </w:r>
          </w:p>
        </w:tc>
        <w:tc>
          <w:tcPr>
            <w:tcW w:type="dxa" w:w="1728"/>
          </w:tcPr>
          <w:p>
            <w:r>
              <w:t>3,22 Mio.</w:t>
            </w:r>
          </w:p>
        </w:tc>
        <w:tc>
          <w:tcPr>
            <w:tcW w:type="dxa" w:w="1728"/>
          </w:tcPr>
          <w:p>
            <w:r>
              <w:t>2,95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EBIT-Marge</w:t>
            </w:r>
          </w:p>
        </w:tc>
        <w:tc>
          <w:tcPr>
            <w:tcW w:type="dxa" w:w="1728"/>
          </w:tcPr>
          <w:p>
            <w:r>
              <w:t>8,0 %</w:t>
            </w:r>
          </w:p>
        </w:tc>
        <w:tc>
          <w:tcPr>
            <w:tcW w:type="dxa" w:w="1728"/>
          </w:tcPr>
          <w:p>
            <w:r>
              <w:t>7,4 %</w:t>
            </w:r>
          </w:p>
        </w:tc>
        <w:tc>
          <w:tcPr>
            <w:tcW w:type="dxa" w:w="1728"/>
          </w:tcPr>
          <w:p>
            <w:r>
              <w:t>7,0 %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Jahresueberschuss</w:t>
            </w:r>
          </w:p>
        </w:tc>
        <w:tc>
          <w:tcPr>
            <w:tcW w:type="dxa" w:w="1728"/>
          </w:tcPr>
          <w:p>
            <w:r>
              <w:t>2,73 Mio.</w:t>
            </w:r>
          </w:p>
        </w:tc>
        <w:tc>
          <w:tcPr>
            <w:tcW w:type="dxa" w:w="1728"/>
          </w:tcPr>
          <w:p>
            <w:r>
              <w:t>2,22 Mio.</w:t>
            </w:r>
          </w:p>
        </w:tc>
        <w:tc>
          <w:tcPr>
            <w:tcW w:type="dxa" w:w="1728"/>
          </w:tcPr>
          <w:p>
            <w:r>
              <w:t>2,07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Bilanzsumme</w:t>
            </w:r>
          </w:p>
        </w:tc>
        <w:tc>
          <w:tcPr>
            <w:tcW w:type="dxa" w:w="1728"/>
          </w:tcPr>
          <w:p>
            <w:r>
              <w:t>31,20 Mio.</w:t>
            </w:r>
          </w:p>
        </w:tc>
        <w:tc>
          <w:tcPr>
            <w:tcW w:type="dxa" w:w="1728"/>
          </w:tcPr>
          <w:p>
            <w:r>
              <w:t>28,40 Mio.</w:t>
            </w:r>
          </w:p>
        </w:tc>
        <w:tc>
          <w:tcPr>
            <w:tcW w:type="dxa" w:w="1728"/>
          </w:tcPr>
          <w:p>
            <w:r>
              <w:t>27,30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Eigenkapital</w:t>
            </w:r>
          </w:p>
        </w:tc>
        <w:tc>
          <w:tcPr>
            <w:tcW w:type="dxa" w:w="1728"/>
          </w:tcPr>
          <w:p>
            <w:r>
              <w:t>16,90 Mio.</w:t>
            </w:r>
          </w:p>
        </w:tc>
        <w:tc>
          <w:tcPr>
            <w:tcW w:type="dxa" w:w="1728"/>
          </w:tcPr>
          <w:p>
            <w:r>
              <w:t>14,10 Mio.</w:t>
            </w:r>
          </w:p>
        </w:tc>
        <w:tc>
          <w:tcPr>
            <w:tcW w:type="dxa" w:w="1728"/>
          </w:tcPr>
          <w:p>
            <w:r>
              <w:t>13,40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EK-Quote</w:t>
            </w:r>
          </w:p>
        </w:tc>
        <w:tc>
          <w:tcPr>
            <w:tcW w:type="dxa" w:w="1728"/>
          </w:tcPr>
          <w:p>
            <w:r>
              <w:t>54,2 %</w:t>
            </w:r>
          </w:p>
        </w:tc>
        <w:tc>
          <w:tcPr>
            <w:tcW w:type="dxa" w:w="1728"/>
          </w:tcPr>
          <w:p>
            <w:r>
              <w:t>49,6 %</w:t>
            </w:r>
          </w:p>
        </w:tc>
        <w:tc>
          <w:tcPr>
            <w:tcW w:type="dxa" w:w="1728"/>
          </w:tcPr>
          <w:p>
            <w:r>
              <w:t>49,1 %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Nettoverschuldung</w:t>
            </w:r>
          </w:p>
        </w:tc>
        <w:tc>
          <w:tcPr>
            <w:tcW w:type="dxa" w:w="1728"/>
          </w:tcPr>
          <w:p>
            <w:r>
              <w:t>1,84 Mio.</w:t>
            </w:r>
          </w:p>
        </w:tc>
        <w:tc>
          <w:tcPr>
            <w:tcW w:type="dxa" w:w="1728"/>
          </w:tcPr>
          <w:p>
            <w:r>
              <w:t>3,40 Mio.</w:t>
            </w:r>
          </w:p>
        </w:tc>
        <w:tc>
          <w:tcPr>
            <w:tcW w:type="dxa" w:w="1728"/>
          </w:tcPr>
          <w:p>
            <w:r>
              <w:t>3,85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Mitarbeiter (FTE)</w:t>
            </w:r>
          </w:p>
        </w:tc>
        <w:tc>
          <w:tcPr>
            <w:tcW w:type="dxa" w:w="1728"/>
          </w:tcPr>
          <w:p>
            <w:r>
              <w:t>247</w:t>
            </w:r>
          </w:p>
        </w:tc>
        <w:tc>
          <w:tcPr>
            <w:tcW w:type="dxa" w:w="1728"/>
          </w:tcPr>
          <w:p>
            <w:r>
              <w:t>231</w:t>
            </w:r>
          </w:p>
        </w:tc>
        <w:tc>
          <w:tcPr>
            <w:tcW w:type="dxa" w:w="1728"/>
          </w:tcPr>
          <w:p>
            <w:r>
              <w:t>218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Umsatz pro FTE (EUR)</w:t>
            </w:r>
          </w:p>
        </w:tc>
        <w:tc>
          <w:tcPr>
            <w:tcW w:type="dxa" w:w="1728"/>
          </w:tcPr>
          <w:p>
            <w:r>
              <w:t>196.880</w:t>
            </w:r>
          </w:p>
        </w:tc>
        <w:tc>
          <w:tcPr>
            <w:tcW w:type="dxa" w:w="1728"/>
          </w:tcPr>
          <w:p>
            <w:r>
              <w:t>187.230</w:t>
            </w:r>
          </w:p>
        </w:tc>
        <w:tc>
          <w:tcPr>
            <w:tcW w:type="dxa" w:w="1728"/>
          </w:tcPr>
          <w:p>
            <w:r>
              <w:t>192.200</w:t>
            </w:r>
          </w:p>
        </w:tc>
        <w:tc>
          <w:tcPr>
            <w:tcW w:type="dxa" w:w="1728"/>
          </w:tcPr>
          <w:p>
            <w:r>
              <w:t>~</w:t>
            </w:r>
          </w:p>
        </w:tc>
      </w:tr>
      <w:tr>
        <w:tc>
          <w:tcPr>
            <w:tcW w:type="dxa" w:w="1728"/>
          </w:tcPr>
          <w:p>
            <w:r>
              <w:t>Investitionen</w:t>
            </w:r>
          </w:p>
        </w:tc>
        <w:tc>
          <w:tcPr>
            <w:tcW w:type="dxa" w:w="1728"/>
          </w:tcPr>
          <w:p>
            <w:r>
              <w:t>2,80 Mio.</w:t>
            </w:r>
          </w:p>
        </w:tc>
        <w:tc>
          <w:tcPr>
            <w:tcW w:type="dxa" w:w="1728"/>
          </w:tcPr>
          <w:p>
            <w:r>
              <w:t>1,90 Mio.</w:t>
            </w:r>
          </w:p>
        </w:tc>
        <w:tc>
          <w:tcPr>
            <w:tcW w:type="dxa" w:w="1728"/>
          </w:tcPr>
          <w:p>
            <w:r>
              <w:t>1,40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F&amp;E-Quote</w:t>
            </w:r>
          </w:p>
        </w:tc>
        <w:tc>
          <w:tcPr>
            <w:tcW w:type="dxa" w:w="1728"/>
          </w:tcPr>
          <w:p>
            <w:r>
              <w:t>4,1 %</w:t>
            </w:r>
          </w:p>
        </w:tc>
        <w:tc>
          <w:tcPr>
            <w:tcW w:type="dxa" w:w="1728"/>
          </w:tcPr>
          <w:p>
            <w:r>
              <w:t>3,8 %</w:t>
            </w:r>
          </w:p>
        </w:tc>
        <w:tc>
          <w:tcPr>
            <w:tcW w:type="dxa" w:w="1728"/>
          </w:tcPr>
          <w:p>
            <w:r>
              <w:t>3,5 %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Auftragsbestand 31.12.</w:t>
            </w:r>
          </w:p>
        </w:tc>
        <w:tc>
          <w:tcPr>
            <w:tcW w:type="dxa" w:w="1728"/>
          </w:tcPr>
          <w:p>
            <w:r>
              <w:t>16,40 Mio.</w:t>
            </w:r>
          </w:p>
        </w:tc>
        <w:tc>
          <w:tcPr>
            <w:tcW w:type="dxa" w:w="1728"/>
          </w:tcPr>
          <w:p>
            <w:r>
              <w:t>13,90 Mio.</w:t>
            </w:r>
          </w:p>
        </w:tc>
        <w:tc>
          <w:tcPr>
            <w:tcW w:type="dxa" w:w="1728"/>
          </w:tcPr>
          <w:p>
            <w:r>
              <w:t>14,80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Working Capital</w:t>
            </w:r>
          </w:p>
        </w:tc>
        <w:tc>
          <w:tcPr>
            <w:tcW w:type="dxa" w:w="1728"/>
          </w:tcPr>
          <w:p>
            <w:r>
              <w:t>6,90 Mio.</w:t>
            </w:r>
          </w:p>
        </w:tc>
        <w:tc>
          <w:tcPr>
            <w:tcW w:type="dxa" w:w="1728"/>
          </w:tcPr>
          <w:p>
            <w:r>
              <w:t>5,80 Mio.</w:t>
            </w:r>
          </w:p>
        </w:tc>
        <w:tc>
          <w:tcPr>
            <w:tcW w:type="dxa" w:w="1728"/>
          </w:tcPr>
          <w:p>
            <w:r>
              <w:t>5,40 Mio.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DSO (Tage)</w:t>
            </w:r>
          </w:p>
        </w:tc>
        <w:tc>
          <w:tcPr>
            <w:tcW w:type="dxa" w:w="1728"/>
          </w:tcPr>
          <w:p>
            <w:r>
              <w:t>54</w:t>
            </w:r>
          </w:p>
        </w:tc>
        <w:tc>
          <w:tcPr>
            <w:tcW w:type="dxa" w:w="1728"/>
          </w:tcPr>
          <w:p>
            <w:r>
              <w:t>57</w:t>
            </w:r>
          </w:p>
        </w:tc>
        <w:tc>
          <w:tcPr>
            <w:tcW w:type="dxa" w:w="1728"/>
          </w:tcPr>
          <w:p>
            <w:r>
              <w:t>58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DPO (Tage)</w:t>
            </w:r>
          </w:p>
        </w:tc>
        <w:tc>
          <w:tcPr>
            <w:tcW w:type="dxa" w:w="1728"/>
          </w:tcPr>
          <w:p>
            <w:r>
              <w:t>39</w:t>
            </w:r>
          </w:p>
        </w:tc>
        <w:tc>
          <w:tcPr>
            <w:tcW w:type="dxa" w:w="1728"/>
          </w:tcPr>
          <w:p>
            <w:r>
              <w:t>37</w:t>
            </w:r>
          </w:p>
        </w:tc>
        <w:tc>
          <w:tcPr>
            <w:tcW w:type="dxa" w:w="1728"/>
          </w:tcPr>
          <w:p>
            <w:r>
              <w:t>36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Lagerumschlag (Tage)</w:t>
            </w:r>
          </w:p>
        </w:tc>
        <w:tc>
          <w:tcPr>
            <w:tcW w:type="dxa" w:w="1728"/>
          </w:tcPr>
          <w:p>
            <w:r>
              <w:t>84</w:t>
            </w:r>
          </w:p>
        </w:tc>
        <w:tc>
          <w:tcPr>
            <w:tcW w:type="dxa" w:w="1728"/>
          </w:tcPr>
          <w:p>
            <w:r>
              <w:t>92</w:t>
            </w:r>
          </w:p>
        </w:tc>
        <w:tc>
          <w:tcPr>
            <w:tcW w:type="dxa" w:w="1728"/>
          </w:tcPr>
          <w:p>
            <w:r>
              <w:t>94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ROCE</w:t>
            </w:r>
          </w:p>
        </w:tc>
        <w:tc>
          <w:tcPr>
            <w:tcW w:type="dxa" w:w="1728"/>
          </w:tcPr>
          <w:p>
            <w:r>
              <w:t>21,4 %</w:t>
            </w:r>
          </w:p>
        </w:tc>
        <w:tc>
          <w:tcPr>
            <w:tcW w:type="dxa" w:w="1728"/>
          </w:tcPr>
          <w:p>
            <w:r>
              <w:t>17,9 %</w:t>
            </w:r>
          </w:p>
        </w:tc>
        <w:tc>
          <w:tcPr>
            <w:tcW w:type="dxa" w:w="1728"/>
          </w:tcPr>
          <w:p>
            <w:r>
              <w:t>16,3 %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Krankenstand</w:t>
            </w:r>
          </w:p>
        </w:tc>
        <w:tc>
          <w:tcPr>
            <w:tcW w:type="dxa" w:w="1728"/>
          </w:tcPr>
          <w:p>
            <w:r>
              <w:t>3,2 %</w:t>
            </w:r>
          </w:p>
        </w:tc>
        <w:tc>
          <w:tcPr>
            <w:tcW w:type="dxa" w:w="1728"/>
          </w:tcPr>
          <w:p>
            <w:r>
              <w:t>3,5 %</w:t>
            </w:r>
          </w:p>
        </w:tc>
        <w:tc>
          <w:tcPr>
            <w:tcW w:type="dxa" w:w="1728"/>
          </w:tcPr>
          <w:p>
            <w:r>
              <w:t>3,8 %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  <w:tr>
        <w:tc>
          <w:tcPr>
            <w:tcW w:type="dxa" w:w="1728"/>
          </w:tcPr>
          <w:p>
            <w:r>
              <w:t>Reklamationsquote</w:t>
            </w:r>
          </w:p>
        </w:tc>
        <w:tc>
          <w:tcPr>
            <w:tcW w:type="dxa" w:w="1728"/>
          </w:tcPr>
          <w:p>
            <w:r>
              <w:t>0,68 %</w:t>
            </w:r>
          </w:p>
        </w:tc>
        <w:tc>
          <w:tcPr>
            <w:tcW w:type="dxa" w:w="1728"/>
          </w:tcPr>
          <w:p>
            <w:r>
              <w:t>0,84 %</w:t>
            </w:r>
          </w:p>
        </w:tc>
        <w:tc>
          <w:tcPr>
            <w:tcW w:type="dxa" w:w="1728"/>
          </w:tcPr>
          <w:p>
            <w:r>
              <w:t>1,02 %</w:t>
            </w:r>
          </w:p>
        </w:tc>
        <w:tc>
          <w:tcPr>
            <w:tcW w:type="dxa" w:w="1728"/>
          </w:tcPr>
          <w:p>
            <w:r>
              <w:t>+</w:t>
            </w:r>
          </w:p>
        </w:tc>
      </w:tr>
    </w:tbl>
    <w:p>
      <w:pPr>
        <w:pStyle w:val="Heading3"/>
      </w:pPr>
      <w:r>
        <w:t>Erlaeuterungen</w:t>
      </w:r>
    </w:p>
    <w:p>
      <w:r>
        <w:t>Verhaeltniszahlen sind auf Basis HGB-Einzelabschluss berechnet. Investitionen 2023 enthalten Sondereffekte aus der Erweiterung der Laserschneidanlage LS-800 (640 TEUR) und dem Hallenkran in Halle B (185 TEUR). Reklamationsquote berechnet als Anzahl reklamierter Auftraege / Anzahl ausgelieferter Auftraege. Quelle: SAP S/4HANA (FI/CO/QM) sowie BWA-Auswertungen DATEV.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