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Korrespondenz – Jahresgespraech Deutsche Bank AG 2024</w:t>
      </w:r>
    </w:p>
    <w:p>
      <w:pPr>
        <w:jc w:val="center"/>
      </w:pPr>
      <w:r>
        <w:t>Vorbereitung des jaehrlichen Bonitaetsgespraechs mit der Hausbank</w:t>
      </w:r>
    </w:p>
    <w:p/>
    <w:p>
      <w:pPr>
        <w:pStyle w:val="Heading3"/>
      </w:pPr>
      <w:r>
        <w:t>Termin / Teilnehmende</w:t>
      </w:r>
    </w:p>
    <w:p>
      <w:r>
        <w:t>Termin: 22. Februar 2024, 10:00 Uhr, Filiale Deutsche Bank AG Koeln, Unter Sachsenhausen 17. Teilnehmende: Klaus Mueller (CEO), Sandra Becker (CFO), Dr. Friedhelm Stuetzel (Senior Account Manager Deutsche Bank), Stefan Adams (Risk Manager Mittelstand Deutsche Bank), Anette Klein (Buchhaltung MMB).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Geschaeftsverlauf 2023 (Umsatz, EBITDA, Auftragsbestand, Liquiditaet)</w:t>
      </w:r>
    </w:p>
    <w:p>
      <w:pPr>
        <w:pStyle w:val="ListBullet"/>
      </w:pPr>
      <w:r>
        <w:t>Vorlage testierter Jahresabschluss 2023 (vorlaeufig) und Mehrjahresplanung 2024-2026</w:t>
      </w:r>
    </w:p>
    <w:p>
      <w:pPr>
        <w:pStyle w:val="ListBullet"/>
      </w:pPr>
      <w:r>
        <w:t>Status Aval-Linie (3,5 Mio. EUR, ausgeschoepft 2,2 Mio. EUR)</w:t>
      </w:r>
    </w:p>
    <w:p>
      <w:pPr>
        <w:pStyle w:val="ListBullet"/>
      </w:pPr>
      <w:r>
        <w:t>Status Investitionslinie (4,5 Mio. EUR, unbeansprucht)</w:t>
      </w:r>
    </w:p>
    <w:p>
      <w:pPr>
        <w:pStyle w:val="ListBullet"/>
      </w:pPr>
      <w:r>
        <w:t>Covenant-Reporting (ICR &gt; 4,0x, Net Debt / EBITDA &lt; 2,5x)</w:t>
      </w:r>
    </w:p>
    <w:p>
      <w:pPr>
        <w:pStyle w:val="ListBullet"/>
      </w:pPr>
      <w:r>
        <w:t>FX-Sicherungsgeschaefte 2024 (Forwards EUR/USD, EUR/MXN)</w:t>
      </w:r>
    </w:p>
    <w:p>
      <w:pPr>
        <w:pStyle w:val="ListBullet"/>
      </w:pPr>
      <w:r>
        <w:t>Nachhaltigkeitsfinanzierung / KfW-Foerderprogramme (PV, E-Mobilitaet)</w:t>
      </w:r>
    </w:p>
    <w:p>
      <w:pPr>
        <w:pStyle w:val="ListBullet"/>
      </w:pPr>
      <w:r>
        <w:t>Aktuelles Rating und Konditionen</w:t>
      </w:r>
    </w:p>
    <w:p>
      <w:pPr>
        <w:pStyle w:val="Heading3"/>
      </w:pPr>
      <w:r>
        <w:t>Wesentliche Ergebnisse</w:t>
      </w:r>
    </w:p>
    <w:p>
      <w:r>
        <w:t>1) Die Deutsche Bank bestaetigt das interne Kreditrating der Gesellschaft (KR-Score 7+ auf einer 21-stufigen Skala; entspricht etwa BBB+ extern) und sieht die Bonitaetsentwicklung positiv. Vorlage des aktualisierten KSAS-Ratings im Mai 2024 erwartet.</w:t>
      </w:r>
    </w:p>
    <w:p>
      <w:r>
        <w:t>2) Konditionen Investitionslinie bleiben bei 1,85 % p. a. fix unveraendert; eine Aufstockung um 1,0 Mio. EUR auf 5,5 Mio. EUR zur Finanzierung des MES-Projektes wird befuerwortet und kann im Q2/2024 strukturiert werden.</w:t>
      </w:r>
    </w:p>
    <w:p>
      <w:r>
        <w:t>3) Covenants 2023 vollumfaenglich eingehalten: ICR (Zinsdeckungsgrad) bei 14,2x deutlich ueber Mindestschwelle; Net Debt / EBITDA bei 0,31x ebenfalls deutlich unter Schwellwert.</w:t>
      </w:r>
    </w:p>
    <w:p>
      <w:r>
        <w:t>4) Empfehlung der Bank: Pruefung Schuldscheindarlehen 5 Mio. EUR fuer 2025/2026 als Diversifizierung der Finanzierungsquellen; Vorgespraech mit Konsorten im H2/2024 geplant.</w:t>
      </w:r>
    </w:p>
    <w:p>
      <w:pPr>
        <w:pStyle w:val="Heading3"/>
      </w:pPr>
      <w:r>
        <w:t>Naechste Schritte</w:t>
      </w:r>
    </w:p>
    <w:p>
      <w:r>
        <w:t>- Uebergabe testierter Jahresabschluss 2023 bis 31. Mai 2024.</w:t>
      </w:r>
    </w:p>
    <w:p>
      <w:r>
        <w:t>- Vorlage Mehrjahresplanung 2024-2026 bis 30. April 2024.</w:t>
      </w:r>
    </w:p>
    <w:p>
      <w:r>
        <w:t>- Folgegespraech ueber Aufstockung Investitionslinie: 25. April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