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Reisekostenabrechnung Vertrieb – Q2/2024</w:t>
      </w:r>
    </w:p>
    <w:p>
      <w:pPr>
        <w:jc w:val="center"/>
      </w:pPr>
      <w:r>
        <w:t>Sammelabrechnung Aussendienst – Berichtszeitraum 1. April bis 30. Juni 2024</w:t>
      </w:r>
    </w:p>
    <w:p/>
    <w:p>
      <w:pPr>
        <w:pStyle w:val="Heading3"/>
      </w:pPr>
      <w:r>
        <w:t>Hinweis</w:t>
      </w:r>
    </w:p>
    <w:p>
      <w:r>
        <w:t>Sammelabrechnung fuer die im Aussendienst taetigen Vertriebsmitarbeitenden (Herr Markus Fischer / Key Account Industrie; Herr Jan Mueller / Key Account Automotive; Herr Stefan Braun / Einkauf (Lieferantenbesuche); Frau Lisa Schulz / Service Engineering). Erfasst sind alle Reisen mit Uebernachtung sowie Tagesreisen ueber 300 km Strecke.</w:t>
      </w:r>
    </w:p>
    <w:p>
      <w:pPr>
        <w:pStyle w:val="Heading3"/>
      </w:pPr>
      <w:r>
        <w:t>Zusammenfassung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Mitarbeitende:r</w:t>
            </w:r>
          </w:p>
        </w:tc>
        <w:tc>
          <w:tcPr>
            <w:tcW w:type="dxa" w:w="1080"/>
          </w:tcPr>
          <w:p>
            <w:r>
              <w:t>Reisetage</w:t>
            </w:r>
          </w:p>
        </w:tc>
        <w:tc>
          <w:tcPr>
            <w:tcW w:type="dxa" w:w="1080"/>
          </w:tcPr>
          <w:p>
            <w:r>
              <w:t>km PKW</w:t>
            </w:r>
          </w:p>
        </w:tc>
        <w:tc>
          <w:tcPr>
            <w:tcW w:type="dxa" w:w="1080"/>
          </w:tcPr>
          <w:p>
            <w:r>
              <w:t>Fahrtkosten</w:t>
            </w:r>
          </w:p>
        </w:tc>
        <w:tc>
          <w:tcPr>
            <w:tcW w:type="dxa" w:w="1080"/>
          </w:tcPr>
          <w:p>
            <w:r>
              <w:t>Hotel</w:t>
            </w:r>
          </w:p>
        </w:tc>
        <w:tc>
          <w:tcPr>
            <w:tcW w:type="dxa" w:w="1080"/>
          </w:tcPr>
          <w:p>
            <w:r>
              <w:t>Verpflegung</w:t>
            </w:r>
          </w:p>
        </w:tc>
        <w:tc>
          <w:tcPr>
            <w:tcW w:type="dxa" w:w="1080"/>
          </w:tcPr>
          <w:p>
            <w:r>
              <w:t>Sonst.</w:t>
            </w:r>
          </w:p>
        </w:tc>
        <w:tc>
          <w:tcPr>
            <w:tcW w:type="dxa" w:w="1080"/>
          </w:tcPr>
          <w:p>
            <w:r>
              <w:t>SUMME</w:t>
            </w:r>
          </w:p>
        </w:tc>
      </w:tr>
      <w:tr>
        <w:tc>
          <w:tcPr>
            <w:tcW w:type="dxa" w:w="1080"/>
          </w:tcPr>
          <w:p>
            <w:r>
              <w:t>Markus Fischer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8.420</w:t>
            </w:r>
          </w:p>
        </w:tc>
        <w:tc>
          <w:tcPr>
            <w:tcW w:type="dxa" w:w="1080"/>
          </w:tcPr>
          <w:p>
            <w:r>
              <w:t>2.526,00</w:t>
            </w:r>
          </w:p>
        </w:tc>
        <w:tc>
          <w:tcPr>
            <w:tcW w:type="dxa" w:w="1080"/>
          </w:tcPr>
          <w:p>
            <w:r>
              <w:t>3.420,00</w:t>
            </w:r>
          </w:p>
        </w:tc>
        <w:tc>
          <w:tcPr>
            <w:tcW w:type="dxa" w:w="1080"/>
          </w:tcPr>
          <w:p>
            <w:r>
              <w:t>1.218,00</w:t>
            </w:r>
          </w:p>
        </w:tc>
        <w:tc>
          <w:tcPr>
            <w:tcW w:type="dxa" w:w="1080"/>
          </w:tcPr>
          <w:p>
            <w:r>
              <w:t>286,00</w:t>
            </w:r>
          </w:p>
        </w:tc>
        <w:tc>
          <w:tcPr>
            <w:tcW w:type="dxa" w:w="1080"/>
          </w:tcPr>
          <w:p>
            <w:r>
              <w:t>7.450,00</w:t>
            </w:r>
          </w:p>
        </w:tc>
      </w:tr>
      <w:tr>
        <w:tc>
          <w:tcPr>
            <w:tcW w:type="dxa" w:w="1080"/>
          </w:tcPr>
          <w:p>
            <w:r>
              <w:t>Jan Mueller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9.130</w:t>
            </w:r>
          </w:p>
        </w:tc>
        <w:tc>
          <w:tcPr>
            <w:tcW w:type="dxa" w:w="1080"/>
          </w:tcPr>
          <w:p>
            <w:r>
              <w:t>2.739,00</w:t>
            </w:r>
          </w:p>
        </w:tc>
        <w:tc>
          <w:tcPr>
            <w:tcW w:type="dxa" w:w="1080"/>
          </w:tcPr>
          <w:p>
            <w:r>
              <w:t>4.120,00</w:t>
            </w:r>
          </w:p>
        </w:tc>
        <w:tc>
          <w:tcPr>
            <w:tcW w:type="dxa" w:w="1080"/>
          </w:tcPr>
          <w:p>
            <w:r>
              <w:t>1.484,00</w:t>
            </w:r>
          </w:p>
        </w:tc>
        <w:tc>
          <w:tcPr>
            <w:tcW w:type="dxa" w:w="1080"/>
          </w:tcPr>
          <w:p>
            <w:r>
              <w:t>412,00</w:t>
            </w:r>
          </w:p>
        </w:tc>
        <w:tc>
          <w:tcPr>
            <w:tcW w:type="dxa" w:w="1080"/>
          </w:tcPr>
          <w:p>
            <w:r>
              <w:t>8.755,00</w:t>
            </w:r>
          </w:p>
        </w:tc>
      </w:tr>
      <w:tr>
        <w:tc>
          <w:tcPr>
            <w:tcW w:type="dxa" w:w="1080"/>
          </w:tcPr>
          <w:p>
            <w:r>
              <w:t>Stefan Braun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5.610</w:t>
            </w:r>
          </w:p>
        </w:tc>
        <w:tc>
          <w:tcPr>
            <w:tcW w:type="dxa" w:w="1080"/>
          </w:tcPr>
          <w:p>
            <w:r>
              <w:t>1.683,00</w:t>
            </w:r>
          </w:p>
        </w:tc>
        <w:tc>
          <w:tcPr>
            <w:tcW w:type="dxa" w:w="1080"/>
          </w:tcPr>
          <w:p>
            <w:r>
              <w:t>2.180,00</w:t>
            </w:r>
          </w:p>
        </w:tc>
        <w:tc>
          <w:tcPr>
            <w:tcW w:type="dxa" w:w="1080"/>
          </w:tcPr>
          <w:p>
            <w:r>
              <w:t>812,00</w:t>
            </w:r>
          </w:p>
        </w:tc>
        <w:tc>
          <w:tcPr>
            <w:tcW w:type="dxa" w:w="1080"/>
          </w:tcPr>
          <w:p>
            <w:r>
              <w:t>184,00</w:t>
            </w:r>
          </w:p>
        </w:tc>
        <w:tc>
          <w:tcPr>
            <w:tcW w:type="dxa" w:w="1080"/>
          </w:tcPr>
          <w:p>
            <w:r>
              <w:t>4.859,00</w:t>
            </w:r>
          </w:p>
        </w:tc>
      </w:tr>
      <w:tr>
        <w:tc>
          <w:tcPr>
            <w:tcW w:type="dxa" w:w="1080"/>
          </w:tcPr>
          <w:p>
            <w:r>
              <w:t>Lisa Schulz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4.180</w:t>
            </w:r>
          </w:p>
        </w:tc>
        <w:tc>
          <w:tcPr>
            <w:tcW w:type="dxa" w:w="1080"/>
          </w:tcPr>
          <w:p>
            <w:r>
              <w:t>1.254,00</w:t>
            </w:r>
          </w:p>
        </w:tc>
        <w:tc>
          <w:tcPr>
            <w:tcW w:type="dxa" w:w="1080"/>
          </w:tcPr>
          <w:p>
            <w:r>
              <w:t>2.640,00</w:t>
            </w:r>
          </w:p>
        </w:tc>
        <w:tc>
          <w:tcPr>
            <w:tcW w:type="dxa" w:w="1080"/>
          </w:tcPr>
          <w:p>
            <w:r>
              <w:t>1.018,00</w:t>
            </w:r>
          </w:p>
        </w:tc>
        <w:tc>
          <w:tcPr>
            <w:tcW w:type="dxa" w:w="1080"/>
          </w:tcPr>
          <w:p>
            <w:r>
              <w:t>320,00</w:t>
            </w:r>
          </w:p>
        </w:tc>
        <w:tc>
          <w:tcPr>
            <w:tcW w:type="dxa" w:w="1080"/>
          </w:tcPr>
          <w:p>
            <w:r>
              <w:t>5.232,00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SUMME</w:t>
            </w:r>
          </w:p>
        </w:tc>
        <w:tc>
          <w:tcPr>
            <w:tcW w:type="dxa" w:w="1080"/>
          </w:tcPr>
          <w:p>
            <w:r>
              <w:t>27.340</w:t>
            </w:r>
          </w:p>
        </w:tc>
        <w:tc>
          <w:tcPr>
            <w:tcW w:type="dxa" w:w="1080"/>
          </w:tcPr>
          <w:p>
            <w:r>
              <w:t>8.202,00</w:t>
            </w:r>
          </w:p>
        </w:tc>
        <w:tc>
          <w:tcPr>
            <w:tcW w:type="dxa" w:w="1080"/>
          </w:tcPr>
          <w:p>
            <w:r>
              <w:t>12.360,00</w:t>
            </w:r>
          </w:p>
        </w:tc>
        <w:tc>
          <w:tcPr>
            <w:tcW w:type="dxa" w:w="1080"/>
          </w:tcPr>
          <w:p>
            <w:r>
              <w:t>4.532,00</w:t>
            </w:r>
          </w:p>
        </w:tc>
        <w:tc>
          <w:tcPr>
            <w:tcW w:type="dxa" w:w="1080"/>
          </w:tcPr>
          <w:p>
            <w:r>
              <w:t>1.202,00</w:t>
            </w:r>
          </w:p>
        </w:tc>
        <w:tc>
          <w:tcPr>
            <w:tcW w:type="dxa" w:w="1080"/>
          </w:tcPr>
          <w:p>
            <w:r>
              <w:t>26.296,00</w:t>
            </w:r>
          </w:p>
        </w:tc>
      </w:tr>
    </w:tbl>
    <w:p>
      <w:pPr>
        <w:pStyle w:val="Heading3"/>
      </w:pPr>
      <w:r>
        <w:t>Auffaelligkeiten</w:t>
      </w:r>
    </w:p>
    <w:p>
      <w:r>
        <w:t>Die Mehrkosten bei Herrn Mueller resultieren aus drei zusaetzlichen Werksbesuchen bei Stellantis Ruesselsheim (Akquise neuer Auftrag Hybrid-Karosseriebau). Eine Buchung der Mehrkosten erfolgte auf das Projekt MMB-2024-STL-001 (Akquise). Reisekostenbudget Q2: 32.000 EUR; Auslastung 82,2 %.</w:t>
      </w:r>
    </w:p>
    <w:p>
      <w:pPr>
        <w:pStyle w:val="Heading3"/>
      </w:pPr>
      <w:r>
        <w:t>Buchung</w:t>
      </w:r>
    </w:p>
    <w:p>
      <w:r>
        <w:t>Verbuchung in SAP FI auf Kostenstelle 4600 (Vertrieb). Auszahlung an die Mitarbeitenden erfolgt ueber die Juli-Gehaltsabrechnung. Verpflegungsmehraufwand wird steuerlich gemaess EStG behandelt (pauschal bei Reisen &gt; 8 Std. 14 EUR, &gt; 24 Std. 28 EUR).</w:t>
      </w:r>
    </w:p>
    <w:p>
      <w:pPr>
        <w:pStyle w:val="Heading3"/>
      </w:pPr>
      <w:r>
        <w:t>Unterschriften</w:t>
      </w:r>
    </w:p>
    <w:p>
      <w:r>
        <w:t>Ort, Datum: Koeln, den 9. Juli 2024</w:t>
      </w:r>
    </w:p>
    <w:p>
      <w:r>
        <w:t>_________________________            _________________________</w:t>
        <w:br/>
        <w:t>Sandra Becker                          Andrea Hoffmann</w:t>
        <w:br/>
        <w:t>Geschaeftsfuehrerin / CFO                          Leiterin Personal &amp; Verwaltung</w:t>
        <w:br/>
        <w:t>Halbreiter Maschinenbau GmbH                       Halbreiter Maschinenbau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