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Mobiles Arbeiten / Homeoffice (BV-Nr. 12/2022)</w:t>
      </w:r>
    </w:p>
    <w:p>
      <w:pPr>
        <w:jc w:val="center"/>
      </w:pPr>
      <w:r>
        <w:t>Wirksam ab 1. April 2022</w:t>
      </w:r>
    </w:p>
    <w:p/>
    <w:p>
      <w:pPr>
        <w:pStyle w:val="Heading3"/>
      </w:pPr>
      <w:r>
        <w:t>Praeambel</w:t>
      </w:r>
    </w:p>
    <w:p>
      <w:r>
        <w:t>Mit dieser Betriebsvereinbarung gem. § 87 Abs. 1 Nr. 14 BetrVG werden die Rahmenbedingungen fuer mobiles Arbeiten und Homeoffice geregelt. Sie loest die Pandemie-Regelung vom 13. Maerz 2020 ab und stellt mobiles Arbeiten dauerhaft auf eine geregelte Basis.</w:t>
      </w:r>
    </w:p>
    <w:p>
      <w:pPr>
        <w:pStyle w:val="Heading3"/>
      </w:pPr>
      <w:r>
        <w:t>Geltungsbereich</w:t>
      </w:r>
    </w:p>
    <w:p>
      <w:r>
        <w:t>Diese BV gilt fuer alle Beschaeftigten, deren Taetigkeit ueberwiegend ortsunabhaengig erbracht werden kann (i. d. R. kaufmaennische Bereiche, Vertrieb, F&amp;E, Konstruktion, Einkauf, IT). Sie gilt nicht fuer Schicht- und produktionsgebundene Taetigkeiten.</w:t>
      </w:r>
    </w:p>
    <w:p>
      <w:pPr>
        <w:pStyle w:val="Heading3"/>
      </w:pPr>
      <w:r>
        <w:t>Regelungen</w:t>
      </w:r>
    </w:p>
    <w:p>
      <w:pPr>
        <w:pStyle w:val="Heading4"/>
      </w:pPr>
      <w:r>
        <w:t>§ 1 Umfang</w:t>
      </w:r>
    </w:p>
    <w:p>
      <w:r>
        <w:rPr>
          <w:b/>
        </w:rPr>
        <w:t xml:space="preserve">(1) </w:t>
      </w:r>
      <w:r>
        <w:t>Mobiles Arbeiten ist bis zu 2 Tage pro Woche grundsaetzlich moeglich. Im Einzelfall (z. B. Pflege Angehoeriger) kann der Anteil mit Zustimmung des/der Vorgesetzten und der Personalleitung erhoeht werden.</w:t>
      </w:r>
    </w:p>
    <w:p>
      <w:r>
        <w:rPr>
          <w:b/>
        </w:rPr>
        <w:t xml:space="preserve">(2) </w:t>
      </w:r>
      <w:r>
        <w:t>Mobiles Arbeiten ist kein Anspruch; der/die Arbeitgeber kann es aus betrieblichen Gruenden (z. B. Praesenztage, Workshops) anordnen oder beschraenken.</w:t>
      </w:r>
    </w:p>
    <w:p>
      <w:pPr>
        <w:pStyle w:val="Heading4"/>
      </w:pPr>
      <w:r>
        <w:t>§ 2 Arbeitsort und Erreichbarkeit</w:t>
      </w:r>
    </w:p>
    <w:p>
      <w:r>
        <w:rPr>
          <w:b/>
        </w:rPr>
        <w:t xml:space="preserve">(1) </w:t>
      </w:r>
      <w:r>
        <w:t>Der mobile Arbeitsort liegt in der Regel im Privathaushalt des/der Beschaeftigten; andere Orte (z. B. Bibliothek, Cafe) sind nur zulaessig, wenn Vertraulichkeit, Datenschutz und Datensicherheit gewaehrleistet werden koennen.</w:t>
      </w:r>
    </w:p>
    <w:p>
      <w:r>
        <w:rPr>
          <w:b/>
        </w:rPr>
        <w:t xml:space="preserve">(2) </w:t>
      </w:r>
      <w:r>
        <w:t>Erreichbarkeit waehrend der Kernzeit 09:00-15:00 Uhr; Antworten auf E-Mails und Anrufe innerhalb von 4 Stunden wird erwartet.</w:t>
      </w:r>
    </w:p>
    <w:p>
      <w:pPr>
        <w:pStyle w:val="Heading4"/>
      </w:pPr>
      <w:r>
        <w:t>§ 3 Arbeitsmittel und Ausstattung</w:t>
      </w:r>
    </w:p>
    <w:p>
      <w:r>
        <w:rPr>
          <w:b/>
        </w:rPr>
        <w:t xml:space="preserve">(1) </w:t>
      </w:r>
      <w:r>
        <w:t>Der Arbeitgeber stellt Notebook, Headset, Bildschirm und Tastatur. Mobilfunkanschluss wird ab Funktion »Aussendienst« gestellt; sonst Privatnutzung der Festnetzleitung akzeptiert.</w:t>
      </w:r>
    </w:p>
    <w:p>
      <w:r>
        <w:rPr>
          <w:b/>
        </w:rPr>
        <w:t xml:space="preserve">(2) </w:t>
      </w:r>
      <w:r>
        <w:t>Eine Pauschale fuer Energie- und Internetkosten in Hoehe von 30 EUR pro Monat (steuerlich pauschal, max. 1.260 EUR p. a.) wird auf Antrag gewaehrt.</w:t>
      </w:r>
    </w:p>
    <w:p>
      <w:pPr>
        <w:pStyle w:val="Heading4"/>
      </w:pPr>
      <w:r>
        <w:t>§ 4 Arbeitszeit</w:t>
      </w:r>
    </w:p>
    <w:p>
      <w:r>
        <w:rPr>
          <w:b/>
        </w:rPr>
        <w:t xml:space="preserve">(1) </w:t>
      </w:r>
      <w:r>
        <w:t>Die Arbeitszeit wird im SAP-Zeiterfassungssystem manuell erfasst. Es gelten die ArbZG-Vorgaben (max. 10 Std. taeglich, 11 Std. Ruhezeit, Pausen).</w:t>
      </w:r>
    </w:p>
    <w:p>
      <w:pPr>
        <w:pStyle w:val="Heading4"/>
      </w:pPr>
      <w:r>
        <w:t>§ 5 Datenschutz und Informationssicherheit</w:t>
      </w:r>
    </w:p>
    <w:p>
      <w:r>
        <w:rPr>
          <w:b/>
        </w:rPr>
        <w:t xml:space="preserve">(1) </w:t>
      </w:r>
      <w:r>
        <w:t>Es gelten die ISMS-Richtlinien sowie die Verpflichtung auf den Datenschutz (Anlage 1). Externe Personen sind vom Arbeitsplatz fernzuhalten; Bildschirmschoner mit Sperre nach 5 Minuten Inaktivitaet.</w:t>
      </w:r>
    </w:p>
    <w:p>
      <w:r>
        <w:rPr>
          <w:b/>
        </w:rPr>
        <w:t xml:space="preserve">(2) </w:t>
      </w:r>
      <w:r>
        <w:t>Vertrauliche Dokumente sind nicht auszudrucken. Eine VPN-Verbindung ist verpflichtend (PaloAlto GlobalProtect).</w:t>
      </w:r>
    </w:p>
    <w:p>
      <w:pPr>
        <w:pStyle w:val="Heading4"/>
      </w:pPr>
      <w:r>
        <w:t>§ 6 Arbeitsschutz und Unfallschutz</w:t>
      </w:r>
    </w:p>
    <w:p>
      <w:r>
        <w:rPr>
          <w:b/>
        </w:rPr>
        <w:t xml:space="preserve">(1) </w:t>
      </w:r>
      <w:r>
        <w:t>Der/die Beschaeftigte sorgt fuer eine ergonomische Gestaltung des heimischen Arbeitsplatzes; eine Eigenerklaerung wird abgegeben.</w:t>
      </w:r>
    </w:p>
    <w:p>
      <w:r>
        <w:rPr>
          <w:b/>
        </w:rPr>
        <w:t xml:space="preserve">(2) </w:t>
      </w:r>
      <w:r>
        <w:t>Unfallschutz besteht im Rahmen der gesetzlichen Unfallversicherung im sachlichen Zusammenhang mit der Taetigkeit.</w:t>
      </w:r>
    </w:p>
    <w:p>
      <w:pPr>
        <w:pStyle w:val="Heading4"/>
      </w:pPr>
      <w:r>
        <w:t>§ 7 Beendigung der Vereinbarung</w:t>
      </w:r>
    </w:p>
    <w:p>
      <w:r>
        <w:rPr>
          <w:b/>
        </w:rPr>
        <w:t xml:space="preserve">(1) </w:t>
      </w:r>
      <w:r>
        <w:t>Im Einzelfall kann die mobile Arbeit mit einer Frist von 4 Wochen wieder beendet werden; Begruendungspflicht durch den Arbeitgeber.</w:t>
      </w:r>
    </w:p>
    <w:p>
      <w:pPr>
        <w:pStyle w:val="Heading3"/>
      </w:pPr>
      <w:r>
        <w:t>Schlussbestimmungen</w:t>
      </w:r>
    </w:p>
    <w:p>
      <w:r>
        <w:t>Diese BV laeuft am 31. Maerz 2027 aus und verlaengert sich automatisch um 24 Monate, soweit nicht 6 Monate vor Ablauf gekuendigt. Sie wurde mit dem Betriebsrat im Sozialausschuss am 14.3.2022 abgestimmt und einstimmig beschlossen.</w:t>
      </w:r>
    </w:p>
    <w:p>
      <w:pPr>
        <w:pStyle w:val="Heading3"/>
      </w:pPr>
      <w:r>
        <w:t>Unterschriften</w:t>
      </w:r>
    </w:p>
    <w:p>
      <w:r>
        <w:t>Ort, Datum: Koeln, den 25. Maerz 2022</w:t>
      </w:r>
    </w:p>
    <w:p>
      <w:r>
        <w:t>_________________________            _________________________</w:t>
        <w:br/>
        <w:t>Klaus Mueller                          Wolfgang Brettschneider</w:t>
        <w:br/>
        <w:t>Geschaeftsfuehrer                          Betriebsratsvorsitzender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