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Nutzung von IT-Systemen (BV-Nr. 13/2022)</w:t>
      </w:r>
    </w:p>
    <w:p>
      <w:pPr>
        <w:jc w:val="center"/>
      </w:pPr>
      <w:r>
        <w:t>Wirksam ab 1. Juli 2022</w:t>
      </w:r>
    </w:p>
    <w:p/>
    <w:p>
      <w:pPr>
        <w:pStyle w:val="Heading3"/>
      </w:pPr>
      <w:r>
        <w:t>Praeambel</w:t>
      </w:r>
    </w:p>
    <w:p>
      <w:r>
        <w:t>Diese Betriebsvereinbarung regelt gemaess § 87 Abs. 1 Nr. 6 BetrVG die Einfuehrung und Nutzung technischer Einrichtungen, die das Verhalten oder die Leistung der Beschaeftigten ueberwachen koennen. Sie umfasst die in der Anlage 1 abschliessend aufgefuehrten Systeme (SAP S/4HANA, Salesforce CRM, MES-Pilot Halle B, EDR/SIEM-Loesung, Active Directory, Webfilter / Proxy).</w:t>
      </w:r>
    </w:p>
    <w:p>
      <w:pPr>
        <w:pStyle w:val="Heading3"/>
      </w:pPr>
      <w:r>
        <w:t>Grundsaetze</w:t>
      </w:r>
    </w:p>
    <w:p>
      <w:r>
        <w:t>Die IT-Systeme dienen ausschliesslich betrieblichen Zwecken. Eine systematische Leistungs- oder Verhaltensueberwachung der einzelnen Beschaeftigten findet nicht statt. Aggregierte Auswertungen (z. B. Lizenzauslastung, System-Performance) sind zulaessig, sofern sie keinen Rueckschluss auf einzelne Personen erlauben.</w:t>
      </w:r>
    </w:p>
    <w:p>
      <w:pPr>
        <w:pStyle w:val="Heading3"/>
      </w:pPr>
      <w:r>
        <w:t>Regelungen</w:t>
      </w:r>
    </w:p>
    <w:p>
      <w:pPr>
        <w:pStyle w:val="Heading4"/>
      </w:pPr>
      <w:r>
        <w:t>§ 1 Erlaubte Nutzung</w:t>
      </w:r>
    </w:p>
    <w:p>
      <w:r>
        <w:rPr>
          <w:b/>
        </w:rPr>
        <w:t xml:space="preserve">(1) </w:t>
      </w:r>
      <w:r>
        <w:t>Dienstliche Nutzung von E-Mail, Internet und Telefon ist gestattet. Private Nutzung in geringem Umfang (sog. »normale Sozialadaequanz«) ist toleriert, soweit dienstliche Interessen nicht beeintraechtigt werden.</w:t>
      </w:r>
    </w:p>
    <w:p>
      <w:r>
        <w:rPr>
          <w:b/>
        </w:rPr>
        <w:t xml:space="preserve">(2) </w:t>
      </w:r>
      <w:r>
        <w:t>Es besteht KEIN Anspruch auf private Nutzung der IT-Systeme.</w:t>
      </w:r>
    </w:p>
    <w:p>
      <w:pPr>
        <w:pStyle w:val="Heading4"/>
      </w:pPr>
      <w:r>
        <w:t>§ 2 Protokollierung und Auswertung</w:t>
      </w:r>
    </w:p>
    <w:p>
      <w:r>
        <w:rPr>
          <w:b/>
        </w:rPr>
        <w:t xml:space="preserve">(1) </w:t>
      </w:r>
      <w:r>
        <w:t>Folgende Protokolldaten werden erhoben: Anmeldedaten (Login/Logout), Zugriffsfehler, E-Mail-Header (nicht Inhalt), URL-Aufrufe ueber den Webfilter (anonymisiert), MES-Anmeldungen, SAP-Audit-Logs, EDR-Events.</w:t>
      </w:r>
    </w:p>
    <w:p>
      <w:r>
        <w:rPr>
          <w:b/>
        </w:rPr>
        <w:t xml:space="preserve">(2) </w:t>
      </w:r>
      <w:r>
        <w:t>Eine personenbezogene Auswertung ist nur im Einzelfall bei begruendetem Verdacht auf eine Straftat oder schwere Pflichtverletzung zulaessig (»4-Augen-Prinzip«: Antrag durch Personalleitung, Beteiligung Betriebsrat, Information DSB).</w:t>
      </w:r>
    </w:p>
    <w:p>
      <w:pPr>
        <w:pStyle w:val="Heading4"/>
      </w:pPr>
      <w:r>
        <w:t>§ 3 Speicherfristen</w:t>
      </w:r>
    </w:p>
    <w:p>
      <w:r>
        <w:rPr>
          <w:b/>
        </w:rPr>
        <w:t xml:space="preserve">(1) </w:t>
      </w:r>
      <w:r>
        <w:t>Login-Daten: 30 Tage; E-Mail-Header: 90 Tage; URL-Logs anonymisiert: 14 Tage; SAP-Audit-Logs: 12 Monate (gesetzliche GoBD).</w:t>
      </w:r>
    </w:p>
    <w:p>
      <w:pPr>
        <w:pStyle w:val="Heading4"/>
      </w:pPr>
      <w:r>
        <w:t>§ 4 EDR / SIEM</w:t>
      </w:r>
    </w:p>
    <w:p>
      <w:r>
        <w:rPr>
          <w:b/>
        </w:rPr>
        <w:t xml:space="preserve">(1) </w:t>
      </w:r>
      <w:r>
        <w:t>Zur Abwehr von Cybersecurity-Vorfaellen wird eine EDR-Loesung (CrowdStrike Falcon) betrieben. Sie wertet Verhaltensmuster der Endgeraete aus; Alerts werden anonymisiert geprueft. Bei IT-Sicherheitsvorfaellen koennen Geraete isoliert werden.</w:t>
      </w:r>
    </w:p>
    <w:p>
      <w:pPr>
        <w:pStyle w:val="Heading4"/>
      </w:pPr>
      <w:r>
        <w:t>§ 5 Mobiles Arbeiten</w:t>
      </w:r>
    </w:p>
    <w:p>
      <w:r>
        <w:rPr>
          <w:b/>
        </w:rPr>
        <w:t xml:space="preserve">(1) </w:t>
      </w:r>
      <w:r>
        <w:t>Ergaenzend zur BV »Mobiles Arbeiten« (HR_012) gelten erhoehte Anforderungen: VPN-Pflicht, Festplattenverschluesselung (BitLocker), automatischer Bildschirmlock.</w:t>
      </w:r>
    </w:p>
    <w:p>
      <w:pPr>
        <w:pStyle w:val="Heading4"/>
      </w:pPr>
      <w:r>
        <w:t>§ 6 Schulung</w:t>
      </w:r>
    </w:p>
    <w:p>
      <w:r>
        <w:rPr>
          <w:b/>
        </w:rPr>
        <w:t xml:space="preserve">(1) </w:t>
      </w:r>
      <w:r>
        <w:t>Alle Beschaeftigten durchlaufen jaehrlich eine verpflichtende IT-Security-Schulung (20 Min., e-Learning). Erstellung und Auswertung erfolgen anonymisiert.</w:t>
      </w:r>
    </w:p>
    <w:p>
      <w:pPr>
        <w:pStyle w:val="Heading4"/>
      </w:pPr>
      <w:r>
        <w:t>§ 7 Mitbestimmung</w:t>
      </w:r>
    </w:p>
    <w:p>
      <w:r>
        <w:rPr>
          <w:b/>
        </w:rPr>
        <w:t xml:space="preserve">(1) </w:t>
      </w:r>
      <w:r>
        <w:t>Aenderungen oder Einfuehrung neuer Tools mit Auswertungsmoeglichkeit beduerfen der Zustimmung des Betriebsrats. Eine Liste der eingesetzten Tools wird halbjaehrlich aktualisiert.</w:t>
      </w:r>
    </w:p>
    <w:p>
      <w:pPr>
        <w:pStyle w:val="Heading3"/>
      </w:pPr>
      <w:r>
        <w:t>Unterschriften</w:t>
      </w:r>
    </w:p>
    <w:p>
      <w:r>
        <w:t>Ort, Datum: Koeln, den 22. Juni 2022</w:t>
      </w:r>
    </w:p>
    <w:p>
      <w:r>
        <w:t>_________________________            _________________________</w:t>
        <w:br/>
        <w:t>Klaus Mueller                          Wolfgang Brettschneider</w:t>
        <w:br/>
        <w:t>Geschaeftsfuehrer                          Betriebsratsvorsitzender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