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Altersstrukturanalyse 2024</w:t>
      </w:r>
    </w:p>
    <w:p>
      <w:pPr>
        <w:jc w:val="center"/>
      </w:pPr>
      <w:r>
        <w:t>HR-Controlling, Stand 1. Maerz 2024</w:t>
      </w:r>
    </w:p>
    <w:p/>
    <w:p>
      <w:pPr>
        <w:pStyle w:val="Heading3"/>
      </w:pPr>
      <w:r>
        <w:t>Ausgangslage</w:t>
      </w:r>
    </w:p>
    <w:p>
      <w:r>
        <w:t>Mit 247 Beschaeftigten zum 31.12.2023 (Vorjahr 231) und einer durchschnittlichen Betriebszugehoerigkeit von 11,4 Jahren ist die Belegschaft der Halbreiter Maschinenbau GmbH ueberdurchschnittlich erfahren, weist aber zugleich ein erhoehtes demografisches Risiko in den naechsten 10 Jahren auf.</w:t>
      </w:r>
    </w:p>
    <w:p>
      <w:pPr>
        <w:pStyle w:val="Heading3"/>
      </w:pPr>
      <w:r>
        <w:t>Altersstruktur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Altersgruppe</w:t>
            </w:r>
          </w:p>
        </w:tc>
        <w:tc>
          <w:tcPr>
            <w:tcW w:type="dxa" w:w="2160"/>
          </w:tcPr>
          <w:p>
            <w:r>
              <w:t>Anzahl</w:t>
            </w:r>
          </w:p>
        </w:tc>
        <w:tc>
          <w:tcPr>
            <w:tcW w:type="dxa" w:w="2160"/>
          </w:tcPr>
          <w:p>
            <w:r>
              <w:t>Anteil</w:t>
            </w:r>
          </w:p>
        </w:tc>
        <w:tc>
          <w:tcPr>
            <w:tcW w:type="dxa" w:w="2160"/>
          </w:tcPr>
          <w:p>
            <w:r>
              <w:t>Tendenz</w:t>
            </w:r>
          </w:p>
        </w:tc>
      </w:tr>
      <w:tr>
        <w:tc>
          <w:tcPr>
            <w:tcW w:type="dxa" w:w="2160"/>
          </w:tcPr>
          <w:p>
            <w:r>
              <w:t>&lt; 25 Jahre</w:t>
            </w:r>
          </w:p>
        </w:tc>
        <w:tc>
          <w:tcPr>
            <w:tcW w:type="dxa" w:w="2160"/>
          </w:tcPr>
          <w:p>
            <w:r>
              <w:t>12</w:t>
            </w:r>
          </w:p>
        </w:tc>
        <w:tc>
          <w:tcPr>
            <w:tcW w:type="dxa" w:w="2160"/>
          </w:tcPr>
          <w:p>
            <w:r>
              <w:t>4,9 %</w:t>
            </w:r>
          </w:p>
        </w:tc>
        <w:tc>
          <w:tcPr>
            <w:tcW w:type="dxa" w:w="2160"/>
          </w:tcPr>
          <w:p>
            <w:r>
              <w:t>Auszubildende / Berufseinsteiger</w:t>
            </w:r>
          </w:p>
        </w:tc>
      </w:tr>
      <w:tr>
        <w:tc>
          <w:tcPr>
            <w:tcW w:type="dxa" w:w="2160"/>
          </w:tcPr>
          <w:p>
            <w:r>
              <w:t>25-34 Jahre</w:t>
            </w:r>
          </w:p>
        </w:tc>
        <w:tc>
          <w:tcPr>
            <w:tcW w:type="dxa" w:w="2160"/>
          </w:tcPr>
          <w:p>
            <w:r>
              <w:t>38</w:t>
            </w:r>
          </w:p>
        </w:tc>
        <w:tc>
          <w:tcPr>
            <w:tcW w:type="dxa" w:w="2160"/>
          </w:tcPr>
          <w:p>
            <w:r>
              <w:t>15,4 %</w:t>
            </w:r>
          </w:p>
        </w:tc>
        <w:tc>
          <w:tcPr>
            <w:tcW w:type="dxa" w:w="2160"/>
          </w:tcPr>
          <w:p>
            <w:r>
              <w:t>Junge Profis / Akquise-Schwerpunkt</w:t>
            </w:r>
          </w:p>
        </w:tc>
      </w:tr>
      <w:tr>
        <w:tc>
          <w:tcPr>
            <w:tcW w:type="dxa" w:w="2160"/>
          </w:tcPr>
          <w:p>
            <w:r>
              <w:t>35-44 Jahre</w:t>
            </w:r>
          </w:p>
        </w:tc>
        <w:tc>
          <w:tcPr>
            <w:tcW w:type="dxa" w:w="2160"/>
          </w:tcPr>
          <w:p>
            <w:r>
              <w:t>62</w:t>
            </w:r>
          </w:p>
        </w:tc>
        <w:tc>
          <w:tcPr>
            <w:tcW w:type="dxa" w:w="2160"/>
          </w:tcPr>
          <w:p>
            <w:r>
              <w:t>25,1 %</w:t>
            </w:r>
          </w:p>
        </w:tc>
        <w:tc>
          <w:tcPr>
            <w:tcW w:type="dxa" w:w="2160"/>
          </w:tcPr>
          <w:p>
            <w:r>
              <w:t>Tragender Kern operativ</w:t>
            </w:r>
          </w:p>
        </w:tc>
      </w:tr>
      <w:tr>
        <w:tc>
          <w:tcPr>
            <w:tcW w:type="dxa" w:w="2160"/>
          </w:tcPr>
          <w:p>
            <w:r>
              <w:t>45-54 Jahre</w:t>
            </w:r>
          </w:p>
        </w:tc>
        <w:tc>
          <w:tcPr>
            <w:tcW w:type="dxa" w:w="2160"/>
          </w:tcPr>
          <w:p>
            <w:r>
              <w:t>76</w:t>
            </w:r>
          </w:p>
        </w:tc>
        <w:tc>
          <w:tcPr>
            <w:tcW w:type="dxa" w:w="2160"/>
          </w:tcPr>
          <w:p>
            <w:r>
              <w:t>30,8 %</w:t>
            </w:r>
          </w:p>
        </w:tc>
        <w:tc>
          <w:tcPr>
            <w:tcW w:type="dxa" w:w="2160"/>
          </w:tcPr>
          <w:p>
            <w:r>
              <w:t>Senior Fachkraefte</w:t>
            </w:r>
          </w:p>
        </w:tc>
      </w:tr>
      <w:tr>
        <w:tc>
          <w:tcPr>
            <w:tcW w:type="dxa" w:w="2160"/>
          </w:tcPr>
          <w:p>
            <w:r>
              <w:t>55-64 Jahre</w:t>
            </w:r>
          </w:p>
        </w:tc>
        <w:tc>
          <w:tcPr>
            <w:tcW w:type="dxa" w:w="2160"/>
          </w:tcPr>
          <w:p>
            <w:r>
              <w:t>54</w:t>
            </w:r>
          </w:p>
        </w:tc>
        <w:tc>
          <w:tcPr>
            <w:tcW w:type="dxa" w:w="2160"/>
          </w:tcPr>
          <w:p>
            <w:r>
              <w:t>21,9 %</w:t>
            </w:r>
          </w:p>
        </w:tc>
        <w:tc>
          <w:tcPr>
            <w:tcW w:type="dxa" w:w="2160"/>
          </w:tcPr>
          <w:p>
            <w:r>
              <w:t>Wissenstraegerinnen</w:t>
            </w:r>
          </w:p>
        </w:tc>
      </w:tr>
      <w:tr>
        <w:tc>
          <w:tcPr>
            <w:tcW w:type="dxa" w:w="2160"/>
          </w:tcPr>
          <w:p>
            <w:r>
              <w:t>65+</w:t>
            </w:r>
          </w:p>
        </w:tc>
        <w:tc>
          <w:tcPr>
            <w:tcW w:type="dxa" w:w="2160"/>
          </w:tcPr>
          <w:p>
            <w:r>
              <w:t>5</w:t>
            </w:r>
          </w:p>
        </w:tc>
        <w:tc>
          <w:tcPr>
            <w:tcW w:type="dxa" w:w="2160"/>
          </w:tcPr>
          <w:p>
            <w:r>
              <w:t>2,0 %</w:t>
            </w:r>
          </w:p>
        </w:tc>
        <w:tc>
          <w:tcPr>
            <w:tcW w:type="dxa" w:w="2160"/>
          </w:tcPr>
          <w:p>
            <w:r>
              <w:t>Befristete Weiterbeschaeftigung</w:t>
            </w:r>
          </w:p>
        </w:tc>
      </w:tr>
      <w:tr>
        <w:tc>
          <w:tcPr>
            <w:tcW w:type="dxa" w:w="2160"/>
          </w:tcPr>
          <w:p>
            <w:r/>
          </w:p>
        </w:tc>
        <w:tc>
          <w:tcPr>
            <w:tcW w:type="dxa" w:w="2160"/>
          </w:tcPr>
          <w:p>
            <w:r>
              <w:t>247</w:t>
            </w:r>
          </w:p>
        </w:tc>
        <w:tc>
          <w:tcPr>
            <w:tcW w:type="dxa" w:w="2160"/>
          </w:tcPr>
          <w:p>
            <w:r>
              <w:t>100,0 %</w:t>
            </w:r>
          </w:p>
        </w:tc>
        <w:tc>
          <w:tcPr>
            <w:tcW w:type="dxa" w:w="2160"/>
          </w:tcPr>
          <w:p>
            <w:r/>
          </w:p>
        </w:tc>
      </w:tr>
    </w:tbl>
    <w:p>
      <w:pPr>
        <w:pStyle w:val="Heading3"/>
      </w:pPr>
      <w:r>
        <w:t>Renteneintritte Prognose</w:t>
      </w:r>
    </w:p>
    <w:p>
      <w:r>
        <w:t>In den naechsten 5 Jahren (2024-2028) gehen voraussichtlich 28 Beschaeftigte in den (Vor-)Ruhestand, davon: 6 in Schluesselfunktionen (Konstruktion 2, Produktion 3, Buchhaltung 1). In den naechsten 10 Jahren (2024-2033) summieren sich die Abgaenge auf 56 Beschaeftigte; ca. 23 % der heutigen Belegschaft.</w:t>
      </w:r>
    </w:p>
    <w:p>
      <w:pPr>
        <w:pStyle w:val="Heading3"/>
      </w:pPr>
      <w:r>
        <w:t>Massnahmen</w:t>
      </w:r>
    </w:p>
    <w:p>
      <w:r>
        <w:t>(a) Ausbildungsoffensive: Erhoehung der Ausbildungsplaetze in 2024 von 8 auf 12; Schwerpunkt Mechatroniker:in, Industriekauffrau/-mann, Fachinformatiker:in.</w:t>
      </w:r>
    </w:p>
    <w:p>
      <w:r>
        <w:t>(b) Nachfolgeplanung: Mentoring-Programm fuer alle Schluesselfunktionen ab Q3/2024; Pat:innen definiert.</w:t>
      </w:r>
    </w:p>
    <w:p>
      <w:r>
        <w:t>(c) Wissenstransfer / Job-Shadowing: Pro Schluesselfunktion 6-12 Monate Doppelbesetzung (Senior + Nachfolge) verankert.</w:t>
      </w:r>
    </w:p>
    <w:p>
      <w:r>
        <w:t>(d) Altersgerechtes Arbeiten: Erweiterung Langzeitkonten, Pruefung Gleitende-Uebergang-Modelle (Vorruhestand 50 %).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