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Halbreiter Maschinenbau GmbH</w:t>
      </w:r>
    </w:p>
    <w:p>
      <w:r>
        <w:rPr>
          <w:sz w:val="18"/>
        </w:rPr>
        <w:t>Industriestraße 12, 50829 Köln  |  HRB 47312, Amtsgericht Köln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Fluktuationsanalyse 2023</w:t>
      </w:r>
    </w:p>
    <w:p>
      <w:pPr>
        <w:jc w:val="center"/>
      </w:pPr>
      <w:r>
        <w:t>Auswertung HR-Controlling, Stand 31. Januar 2024</w:t>
      </w:r>
    </w:p>
    <w:p/>
    <w:p>
      <w:pPr>
        <w:pStyle w:val="Heading3"/>
      </w:pPr>
      <w:r>
        <w:t>Gesamtbild</w:t>
      </w:r>
    </w:p>
    <w:p>
      <w:r>
        <w:t>Im Geschaeftsjahr 2023 hat die Gesellschaft ihren Personalbestand von 231 (31.12.2022) auf 247 (31.12.2023) erhoeht. Im selben Zeitraum haben 18 Mitarbeitende das Unternehmen verlassen (8 davon aus dem Bereich Produktion, 6 kaufmaennisch / Vertrieb, 4 F&amp;E / Service); 34 wurden neu eingestellt. Brutto-Fluktuationsrate: 7,3 % (Vorjahr 8,1 %). Netto-Fluktuationsrate (ohne altersbedingte Abgaenge): 5,2 %.</w:t>
      </w:r>
    </w:p>
    <w:p>
      <w:pPr>
        <w:pStyle w:val="Heading3"/>
      </w:pPr>
      <w:r>
        <w:t>Aufschluesselung Austrittsgruende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Grund</w:t>
            </w:r>
          </w:p>
        </w:tc>
        <w:tc>
          <w:tcPr>
            <w:tcW w:type="dxa" w:w="2160"/>
          </w:tcPr>
          <w:p>
            <w:r>
              <w:t>2023</w:t>
            </w:r>
          </w:p>
        </w:tc>
        <w:tc>
          <w:tcPr>
            <w:tcW w:type="dxa" w:w="2160"/>
          </w:tcPr>
          <w:p>
            <w:r>
              <w:t>2022</w:t>
            </w:r>
          </w:p>
        </w:tc>
        <w:tc>
          <w:tcPr>
            <w:tcW w:type="dxa" w:w="2160"/>
          </w:tcPr>
          <w:p>
            <w:r>
              <w:t>Trend</w:t>
            </w:r>
          </w:p>
        </w:tc>
      </w:tr>
      <w:tr>
        <w:tc>
          <w:tcPr>
            <w:tcW w:type="dxa" w:w="2160"/>
          </w:tcPr>
          <w:p>
            <w:r>
              <w:t>Eigenkuendigung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↓</w:t>
            </w:r>
          </w:p>
        </w:tc>
      </w:tr>
      <w:tr>
        <w:tc>
          <w:tcPr>
            <w:tcW w:type="dxa" w:w="2160"/>
          </w:tcPr>
          <w:p>
            <w:r>
              <w:t>Aufhebungsvertrag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↑</w:t>
            </w:r>
          </w:p>
        </w:tc>
      </w:tr>
      <w:tr>
        <w:tc>
          <w:tcPr>
            <w:tcW w:type="dxa" w:w="2160"/>
          </w:tcPr>
          <w:p>
            <w:r>
              <w:t>Renteneintritt / ATZ Ende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↓</w:t>
            </w:r>
          </w:p>
        </w:tc>
      </w:tr>
      <w:tr>
        <w:tc>
          <w:tcPr>
            <w:tcW w:type="dxa" w:w="2160"/>
          </w:tcPr>
          <w:p>
            <w:r>
              <w:t>Befristung ausgelaufen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↓</w:t>
            </w:r>
          </w:p>
        </w:tc>
      </w:tr>
      <w:tr>
        <w:tc>
          <w:tcPr>
            <w:tcW w:type="dxa" w:w="2160"/>
          </w:tcPr>
          <w:p>
            <w:r>
              <w:t>Sonstiges (Krankheit, Tod, etc.)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↑</w:t>
            </w:r>
          </w:p>
        </w:tc>
      </w:tr>
      <w:tr>
        <w:tc>
          <w:tcPr>
            <w:tcW w:type="dxa" w:w="2160"/>
          </w:tcPr>
          <w:p>
            <w:r>
              <w:t>SUMME</w:t>
            </w:r>
          </w:p>
        </w:tc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↓</w:t>
            </w:r>
          </w:p>
        </w:tc>
      </w:tr>
    </w:tbl>
    <w:p>
      <w:pPr>
        <w:pStyle w:val="Heading3"/>
      </w:pPr>
      <w:r>
        <w:t>Schwerpunkte / Risiken</w:t>
      </w:r>
    </w:p>
    <w:p>
      <w:r>
        <w:t>1. Bereich Konstruktion / F&amp;E: Wettbewerb um Senior Ingenieur:innen verschaerft. Drei Eigenkuendigungen 2023; alle drei zu Konkurrenten oder Beratungen mit hoeheren Festgehaltsangeboten. Massnahmen: AT-Gehaltsanpassung 7 % (per 1.4.2024) sowie Einfuehrung Sabbatical-Modell.</w:t>
      </w:r>
    </w:p>
    <w:p>
      <w:r>
        <w:t>2. Schichtarbeitende: hohe Fluktuation der Nachtschicht (Halle B); Massnahme: Wechsel-Bonus 250 EUR monatlich, Schichtwechsel kuerzere Zyklen (Vorschlag Betriebsrat).</w:t>
      </w:r>
    </w:p>
    <w:p>
      <w:r>
        <w:t>3. Vertrieb: zwei Key-Account-Manager:innen verlassen das Unternehmen Richtung OEM-Industriekunden; Massnahmen: Nachfolge intern (HR_009 Jan Mueller, HR_007 Markus Fischer) bereits etabliert.</w:t>
      </w:r>
    </w:p>
    <w:p>
      <w:pPr>
        <w:pStyle w:val="Heading3"/>
      </w:pPr>
      <w:r>
        <w:t>Verweildauer</w:t>
      </w:r>
    </w:p>
    <w:p>
      <w:r>
        <w:t>Durchschnittliche Betriebszugehoerigkeit zum 31.12.2023: 11,4 Jahre (Vorjahr 11,2 Jahre). Median: 9,5 Jahre. 38 % der Belegschaft sind &gt; 15 Jahre im Unternehmen.</w:t>
      </w:r>
    </w:p>
    <w:p>
      <w:pPr>
        <w:pStyle w:val="Heading3"/>
      </w:pPr>
      <w:r>
        <w:t>Empfehlungen</w:t>
      </w:r>
    </w:p>
    <w:p>
      <w:r>
        <w:t>(a) Fuehrungskraefteentwicklungsprogramm »MMB Lead 2024« startet im Q3/2024. (b) Mitarbeitendenbefragung im Q2/2024 (zuletzt 2021). (c) Erweiterung der Praemienmodelle in Halle 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