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Protokoll – Tariferhoehung und AT-Gehaltsrunde 2024</w:t>
      </w:r>
    </w:p>
    <w:p>
      <w:pPr>
        <w:jc w:val="center"/>
      </w:pPr>
      <w:r>
        <w:t>Sitzung mit Betriebsrat und Personalausschuss am 14. Februar 2024</w:t>
      </w:r>
    </w:p>
    <w:p/>
    <w:p>
      <w:pPr>
        <w:pStyle w:val="Heading3"/>
      </w:pPr>
      <w:r>
        <w:t>Tarifrunde Metall-Elektro NRW</w:t>
      </w:r>
    </w:p>
    <w:p>
      <w:r>
        <w:t>Der Tarifabschluss IG Metall / NRW vom 18. November 2023 sieht in den Geltungsbereich der Halbreiter Maschinenbau GmbH folgende Erhoehungen vor: 5,2 % zum 1. Mai 2024, weitere 3,3 % zum 1. April 2025. Zusaetzlich: Tarifliche Sonderzahlung 1.500 EUR (Inflationsausgleich) auszahlbar mit der Maerz-Abrechnung 2024 fuer alle tarifgebundenen Vollzeit-Beschaeftigten (anteilig fuer Teilzeit).</w:t>
      </w:r>
    </w:p>
    <w:p>
      <w:pPr>
        <w:pStyle w:val="Heading3"/>
      </w:pPr>
      <w:r>
        <w:t>AT-Erhoehung</w:t>
      </w:r>
    </w:p>
    <w:p>
      <w:r>
        <w:t>Die Geschaeftsfuehrung hat in Abstimmung mit dem Personalausschuss und mit der zustaendigen Vertretung der AT-Beschaeftigten festgelegt: AT-Erhoehung in zwei Stufen: 4,0 % zum 1. April 2024, weitere 2,5 % zum 1. Januar 2025. Inflationsausgleichs-Pauschale 1.500 EUR (analog tariflich).</w:t>
      </w:r>
    </w:p>
    <w:p>
      <w:pPr>
        <w:pStyle w:val="Heading3"/>
      </w:pPr>
      <w:r>
        <w:t>Gesamtkostenwirkung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Bereich</w:t>
            </w:r>
          </w:p>
        </w:tc>
        <w:tc>
          <w:tcPr>
            <w:tcW w:type="dxa" w:w="2160"/>
          </w:tcPr>
          <w:p>
            <w:r>
              <w:t>MA-Anzahl</w:t>
            </w:r>
          </w:p>
        </w:tc>
        <w:tc>
          <w:tcPr>
            <w:tcW w:type="dxa" w:w="2160"/>
          </w:tcPr>
          <w:p>
            <w:r>
              <w:t>Erhoehung 2024</w:t>
            </w:r>
          </w:p>
        </w:tc>
        <w:tc>
          <w:tcPr>
            <w:tcW w:type="dxa" w:w="2160"/>
          </w:tcPr>
          <w:p>
            <w:r>
              <w:t>Mehrkosten p. a. EUR</w:t>
            </w:r>
          </w:p>
        </w:tc>
      </w:tr>
      <w:tr>
        <w:tc>
          <w:tcPr>
            <w:tcW w:type="dxa" w:w="2160"/>
          </w:tcPr>
          <w:p>
            <w:r>
              <w:t>Tarif (Produktion)</w:t>
            </w:r>
          </w:p>
        </w:tc>
        <w:tc>
          <w:tcPr>
            <w:tcW w:type="dxa" w:w="2160"/>
          </w:tcPr>
          <w:p>
            <w:r>
              <w:t>168</w:t>
            </w:r>
          </w:p>
        </w:tc>
        <w:tc>
          <w:tcPr>
            <w:tcW w:type="dxa" w:w="2160"/>
          </w:tcPr>
          <w:p>
            <w:r>
              <w:t>5,2 % + 1.500 EUR</w:t>
            </w:r>
          </w:p>
        </w:tc>
        <w:tc>
          <w:tcPr>
            <w:tcW w:type="dxa" w:w="2160"/>
          </w:tcPr>
          <w:p>
            <w:r>
              <w:t>812.000</w:t>
            </w:r>
          </w:p>
        </w:tc>
      </w:tr>
      <w:tr>
        <w:tc>
          <w:tcPr>
            <w:tcW w:type="dxa" w:w="2160"/>
          </w:tcPr>
          <w:p>
            <w:r>
              <w:t>Tarif (Kfm./Service)</w:t>
            </w:r>
          </w:p>
        </w:tc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5,2 % + 1.500 EUR</w:t>
            </w:r>
          </w:p>
        </w:tc>
        <w:tc>
          <w:tcPr>
            <w:tcW w:type="dxa" w:w="2160"/>
          </w:tcPr>
          <w:p>
            <w:r>
              <w:t>298.000</w:t>
            </w:r>
          </w:p>
        </w:tc>
      </w:tr>
      <w:tr>
        <w:tc>
          <w:tcPr>
            <w:tcW w:type="dxa" w:w="2160"/>
          </w:tcPr>
          <w:p>
            <w:r>
              <w:t>AT (Manager / Vertrieb / F&amp;E)</w:t>
            </w:r>
          </w:p>
        </w:tc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4,0 %</w:t>
            </w:r>
          </w:p>
        </w:tc>
        <w:tc>
          <w:tcPr>
            <w:tcW w:type="dxa" w:w="2160"/>
          </w:tcPr>
          <w:p>
            <w:r>
              <w:t>118.000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1.228.000</w:t>
            </w:r>
          </w:p>
        </w:tc>
      </w:tr>
    </w:tbl>
    <w:p>
      <w:pPr>
        <w:pStyle w:val="Heading3"/>
      </w:pPr>
      <w:r>
        <w:t>Auswirkung auf Planung 2024</w:t>
      </w:r>
    </w:p>
    <w:p>
      <w:r>
        <w:t>Personalaufwand 2024 (Plan) steigt von 14,12 Mio. EUR auf 15,35 Mio. EUR. EBITDA-Marge unter Beruecksichtigung der Tariferhoehung wird auf ca. 11,9 % geplant (Vorjahr 12,3 %). Massnahmen zur Kompensation: Produktivitaetssteigerung +2 % durch MES-Pilot, Preisanpassungen im Neuauftrags-geschaeft +3,5 %.</w:t>
      </w:r>
    </w:p>
    <w:p>
      <w:pPr>
        <w:pStyle w:val="Heading3"/>
      </w:pPr>
      <w:r>
        <w:t>Betriebsratsbeteiligung</w:t>
      </w:r>
    </w:p>
    <w:p>
      <w:r>
        <w:t>Der Betriebsrat hat der Umsetzung der Tariferhoehung sowie der AT-Anpassung zugestimmt (Sitzung 14.2.2024, einstimmig). Eine Information der Belegschaft erfolgt ueber die Lohnabrechnung Maerz 2024 sowie ueber den internen Newsletter »MMB intern« Ausgabe 02/2024.</w:t>
      </w:r>
    </w:p>
    <w:p>
      <w:pPr>
        <w:pStyle w:val="Heading3"/>
      </w:pPr>
      <w:r>
        <w:t>Unterschriften</w:t>
      </w:r>
    </w:p>
    <w:p>
      <w:r>
        <w:t>Ort, Datum: Koeln, den 14. Februar 2024</w:t>
      </w:r>
    </w:p>
    <w:p>
      <w:r>
        <w:t>_________________________            _________________________</w:t>
        <w:br/>
        <w:t>Sandra Becker                          Wolfgang Brettschneider</w:t>
        <w:br/>
        <w:t>Geschaeftsfuehrerin / CFO                          Betriebsratsvorsitzender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