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Halbreiter Maschinenbau GmbH</w:t>
      </w:r>
    </w:p>
    <w:p>
      <w:r>
        <w:rPr>
          <w:sz w:val="18"/>
        </w:rPr>
        <w:t>Industriestraße 12, 50829 Köln  |  HRB 47312, Amtsgericht Köln</w:t>
      </w:r>
    </w:p>
    <w:p>
      <w:r>
        <w:t>────────────────────────────────────────────────────────────────────────────────</w:t>
      </w:r>
    </w:p>
    <w:p>
      <w:pPr>
        <w:pStyle w:val="Heading2"/>
      </w:pPr>
      <w:r>
        <w:t>Modernisierungs- / Retrofit-Vertrag – Bosch Rexroth AG – »Modernisierung Steuerung Bestandsanlagen FB-200 (Retrofit Linien 1-3)«</w:t>
      </w:r>
    </w:p>
    <w:p>
      <w:pPr>
        <w:jc w:val="center"/>
      </w:pPr>
      <w:r>
        <w:t>Vertragsnr. RV-2024-BOSCH-002, Stand 14. Mai 2024</w:t>
      </w:r>
    </w:p>
    <w:p/>
    <w:p>
      <w:pPr>
        <w:pStyle w:val="Heading3"/>
      </w:pPr>
      <w:r>
        <w:t>Vertragsparteien</w:t>
      </w:r>
    </w:p>
    <w:p>
      <w:r>
        <w:t>1. Halbreiter Maschinenbau GmbH, Industriestrasse 12, 50829 Koeln, HRB 47312, AG Koeln, vertreten durch Klaus Mueller (CEO) und Sandra Becker (CFO) – nachfolgend »MMB« –, sowie</w:t>
      </w:r>
    </w:p>
    <w:p>
      <w:r>
        <w:t>2. Bosch Rexroth AG, Zum Eisengiesser 1, 97816 Lohr am Main – nachfolgend »Kunde« –</w:t>
      </w:r>
    </w:p>
    <w:p>
      <w:pPr>
        <w:pStyle w:val="Heading3"/>
      </w:pPr>
      <w:r>
        <w:t>Praeambel</w:t>
      </w:r>
    </w:p>
    <w:p>
      <w:r>
        <w:t>MMB ist Spezialist fuer Sondermaschinenbau und Anlagenbau in der metallverarbeitenden Industrie. Der Kunde betreibt Werke und Anlagen. fuer die er hochpraezise Maschinenkomponenten und Systeme in wiederkehrender Lieferform benoetigt. Im Rahmen des Projektes »Modernisierung Steuerung Bestandsanlagen FB-200 (Retrofit Linien 1-3)« mit einem erwarteten Gesamtvolumen von rund 1.950.000 EUR ueber die Vertragslaufzeit schliessen die Parteien diesen Rahmenvertrag, um Bestellungen effizient unter einheitlichen Konditionen abwickeln zu koennen.</w:t>
      </w:r>
    </w:p>
    <w:p>
      <w:pPr>
        <w:pStyle w:val="Heading3"/>
      </w:pPr>
      <w:r>
        <w:t>Vertragsregelungen</w:t>
      </w:r>
    </w:p>
    <w:p>
      <w:pPr>
        <w:pStyle w:val="Heading4"/>
      </w:pPr>
      <w:r>
        <w:t>§ 1 Gegenstand</w:t>
      </w:r>
    </w:p>
    <w:p>
      <w:r>
        <w:rPr>
          <w:b/>
        </w:rPr>
        <w:t xml:space="preserve">(1) </w:t>
      </w:r>
      <w:r>
        <w:t>Gegenstand ist die Lieferung und Montage der vom Kunden im Rahmen des Projektes »Modernisierung Steuerung Bestandsanlagen FB-200 (Retrofit Linien 1-3)« beauftragten Maschinen, Anlagen und zugehoeriger Dienstleistungen.</w:t>
      </w:r>
    </w:p>
    <w:p>
      <w:r>
        <w:rPr>
          <w:b/>
        </w:rPr>
        <w:t xml:space="preserve">(2) </w:t>
      </w:r>
      <w:r>
        <w:t>Einzelauftraege erfolgen ueber gesonderte Bestellungen / Auftragsbestaetigungen auf Basis dieses Rahmenvertrags. Bei Widerspruch geht die Auftragsbestaetigung im Einzelfall vor, im Uebrigen dieser Rahmenvertrag.</w:t>
      </w:r>
    </w:p>
    <w:p>
      <w:pPr>
        <w:pStyle w:val="Heading4"/>
      </w:pPr>
      <w:r>
        <w:t>§ 2 Liefermenge / Vorlauf</w:t>
      </w:r>
    </w:p>
    <w:p>
      <w:r>
        <w:rPr>
          <w:b/>
        </w:rPr>
        <w:t xml:space="preserve">(1) </w:t>
      </w:r>
      <w:r>
        <w:t>Der Kunde uebermittelt rollierend einen 12-Monats-Forecast (taeglicher Abgleich ueber EDI/ANSI X.12 oder OPC-UA-Schnittstelle), aufgeteilt in: Fixzone (0-3 Monate), Tradezone (4-6 Monate) und Forecastzone (7-12 Monate).</w:t>
      </w:r>
    </w:p>
    <w:p>
      <w:r>
        <w:rPr>
          <w:b/>
        </w:rPr>
        <w:t xml:space="preserve">(2) </w:t>
      </w:r>
      <w:r>
        <w:t>MMB verpflichtet sich, fixe Mengen rechtzeitig zu liefern; Aenderungen in der Tradezone werden auf Basis Aufwandsausgleich angepasst.</w:t>
      </w:r>
    </w:p>
    <w:p>
      <w:pPr>
        <w:pStyle w:val="Heading4"/>
      </w:pPr>
      <w:r>
        <w:t>§ 3 Preise</w:t>
      </w:r>
    </w:p>
    <w:p>
      <w:r>
        <w:rPr>
          <w:b/>
        </w:rPr>
        <w:t xml:space="preserve">(1) </w:t>
      </w:r>
      <w:r>
        <w:t>Preise sind in der Preisliste Anlage 2 festgelegt. Preisanpassungen erfolgen jaehrlich entlang der Materialkostenindex-Klausel (Stahl-/Aluminium-Index gemaess Statistisches Bundesamt) sowie der Personalkosten-Klausel (M+E NRW-Tarifabschluss).</w:t>
      </w:r>
    </w:p>
    <w:p>
      <w:r>
        <w:rPr>
          <w:b/>
        </w:rPr>
        <w:t xml:space="preserve">(2) </w:t>
      </w:r>
      <w:r>
        <w:t>Materialklausel: &gt; +/- 5 % Aenderung Vormonats-Index loest Anpassung in laufender Bestellung aus.</w:t>
      </w:r>
    </w:p>
    <w:p>
      <w:pPr>
        <w:pStyle w:val="Heading4"/>
      </w:pPr>
      <w:r>
        <w:t>§ 4 Lieferung / Eigentumsvorbehalt</w:t>
      </w:r>
    </w:p>
    <w:p>
      <w:r>
        <w:rPr>
          <w:b/>
        </w:rPr>
        <w:t xml:space="preserve">(1) </w:t>
      </w:r>
      <w:r>
        <w:t>Lieferung erfolgt DAP gemaess INCOTERMS 2020. Gefahruebergang mit Eintreffen am Werkstor des Kunden.</w:t>
      </w:r>
    </w:p>
    <w:p>
      <w:r>
        <w:rPr>
          <w:b/>
        </w:rPr>
        <w:t xml:space="preserve">(2) </w:t>
      </w:r>
      <w:r>
        <w:t>Eigentumsvorbehalt: erweiterter und verlaengerter Eigentumsvorbehalt gemaess Ziff. 8 AVB MMB. Forderungen aus der Weiterveraeusserung werden im Voraus an MMB abgetreten.</w:t>
      </w:r>
    </w:p>
    <w:p>
      <w:pPr>
        <w:pStyle w:val="Heading4"/>
      </w:pPr>
      <w:r>
        <w:t>§ 5 Zahlungsbedingungen</w:t>
      </w:r>
    </w:p>
    <w:p>
      <w:r>
        <w:rPr>
          <w:b/>
        </w:rPr>
        <w:t xml:space="preserve">(1) </w:t>
      </w:r>
      <w:r>
        <w:t>Zahlung erfolgt 30 Tage netto nach Rechnungseingang. Bei Lieferung &gt; 500 TEUR Einzelauftragswert: Anzahlung 30 % bei Auftragserteilung, 40 % bei Pre-FAT, 25 % bei IBN, 5 % nach Gewaehrleistung oder Buergschaft.</w:t>
      </w:r>
    </w:p>
    <w:p>
      <w:pPr>
        <w:pStyle w:val="Heading4"/>
      </w:pPr>
      <w:r>
        <w:t>§ 6 Gewaehrleistung / Haftung</w:t>
      </w:r>
    </w:p>
    <w:p>
      <w:r>
        <w:rPr>
          <w:b/>
        </w:rPr>
        <w:t xml:space="preserve">(1) </w:t>
      </w:r>
      <w:r>
        <w:t>Gewaehrleistung 24 Monate ab IBN, spaetestens 30 Monate ab Lieferung. Haftung MMB begrenzt auf 100 % des Vertragswertes pro Schadensereignis und 200 % insgesamt; ausgenommen Vorsatz und grobe Fahrlaessigkeit sowie Personenschaeden.</w:t>
      </w:r>
    </w:p>
    <w:p>
      <w:r>
        <w:rPr>
          <w:b/>
        </w:rPr>
        <w:t xml:space="preserve">(2) </w:t>
      </w:r>
      <w:r>
        <w:t>Produkthaftung gemaess ProdHaftG bleibt unberuehrt.</w:t>
      </w:r>
    </w:p>
    <w:p>
      <w:pPr>
        <w:pStyle w:val="Heading4"/>
      </w:pPr>
      <w:r>
        <w:t>§ 7 Service-Level / Wartung</w:t>
      </w:r>
    </w:p>
    <w:p>
      <w:r>
        <w:rPr>
          <w:b/>
        </w:rPr>
        <w:t xml:space="preserve">(1) </w:t>
      </w:r>
      <w:r>
        <w:t>Vertragsbestandteil ist – soweit gesondert beauftragt – ein 24-Monats-Wartungsvertrag (jaehrliche Pruefung, Telefon-Reaktion 4 Std., vor-Ort-Reaktion 24 Std., Ersatzteile lagernd 12 Monate).</w:t>
      </w:r>
    </w:p>
    <w:p>
      <w:pPr>
        <w:pStyle w:val="Heading4"/>
      </w:pPr>
      <w:r>
        <w:t>§ 8 Vertraulichkeit</w:t>
      </w:r>
    </w:p>
    <w:p>
      <w:r>
        <w:rPr>
          <w:b/>
        </w:rPr>
        <w:t xml:space="preserve">(1) </w:t>
      </w:r>
      <w:r>
        <w:t>Saemtliche Informationen, die im Zusammenhang mit der Geschaeftsbeziehung ausgetauscht werden, sind vertraulich und duerfen nicht ohne Zustimmung der jeweils anderen Partei Dritten zugaenglich gemacht werden. Eine separate NDA (Anlage 3) gilt fuer Detailangaben.</w:t>
      </w:r>
    </w:p>
    <w:p>
      <w:pPr>
        <w:pStyle w:val="Heading4"/>
      </w:pPr>
      <w:r>
        <w:t>§ 9 Compliance / ESG / Lieferkette</w:t>
      </w:r>
    </w:p>
    <w:p>
      <w:r>
        <w:rPr>
          <w:b/>
        </w:rPr>
        <w:t xml:space="preserve">(1) </w:t>
      </w:r>
      <w:r>
        <w:t>Die Parteien verpflichten sich auf die Einhaltung der einschlaegigen Gesetze, insbesondere LkSG (Lieferkettensorgfaltspflichtengesetz), Anti-Korruption, Exportkontrolle und Sanktionsrecht.</w:t>
      </w:r>
    </w:p>
    <w:p>
      <w:r>
        <w:rPr>
          <w:b/>
        </w:rPr>
        <w:t xml:space="preserve">(2) </w:t>
      </w:r>
      <w:r>
        <w:t>MMB legt jaehrlich eine Lieferkettensorgfalts-Erklaerung (Anlage 4) vor.</w:t>
      </w:r>
    </w:p>
    <w:p>
      <w:pPr>
        <w:pStyle w:val="Heading4"/>
      </w:pPr>
      <w:r>
        <w:t>§ 10 Anwendbares Recht / Streitbeilegung</w:t>
      </w:r>
    </w:p>
    <w:p>
      <w:r>
        <w:rPr>
          <w:b/>
        </w:rPr>
        <w:t xml:space="preserve">(1) </w:t>
      </w:r>
      <w:r>
        <w:t>Es gilt deutsches Recht; Gerichtsstand Koeln. Streitigkeiten werden zunaechst durch Mediation (Pro-bono-Mediator der Industrie- und Handelskammer Koeln) geklaert; gelingt dies nicht binnen 60 Tagen, entscheidet das ordentliche Gericht.</w:t>
      </w:r>
    </w:p>
    <w:p>
      <w:pPr>
        <w:pStyle w:val="Heading4"/>
      </w:pPr>
      <w:r>
        <w:t>§ 11 Laufzeit / Kuendigung</w:t>
      </w:r>
    </w:p>
    <w:p>
      <w:r>
        <w:rPr>
          <w:b/>
        </w:rPr>
        <w:t xml:space="preserve">(1) </w:t>
      </w:r>
      <w:r>
        <w:t>Dieser Vertrag laeuft vom 14. Mai 2024 bis 31. Dezember 2026. Eine Verlaengerung um 12 Monate erfolgt automatisch, soweit nicht 6 Monate vor Ablauf gekuendigt wird.</w:t>
      </w:r>
    </w:p>
    <w:p>
      <w:r>
        <w:rPr>
          <w:b/>
        </w:rPr>
        <w:t xml:space="preserve">(2) </w:t>
      </w:r>
      <w:r>
        <w:t>Ausserordentliche Kuendigung aus wichtigem Grund bleibt unberuehrt.</w:t>
      </w:r>
    </w:p>
    <w:p>
      <w:pPr>
        <w:pStyle w:val="Heading3"/>
      </w:pPr>
      <w:r>
        <w:t>Anlagen</w:t>
      </w:r>
    </w:p>
    <w:p>
      <w:r>
        <w:t>Anlage 1: Technische Spezifikation</w:t>
      </w:r>
    </w:p>
    <w:p>
      <w:r>
        <w:t>Anlage 2: Preisliste 2024</w:t>
      </w:r>
    </w:p>
    <w:p>
      <w:r>
        <w:t>Anlage 3: Vertraulichkeitsvereinbarung (NDA)</w:t>
      </w:r>
    </w:p>
    <w:p>
      <w:r>
        <w:t>Anlage 4: LkSG-Sorgfaltserklaerung MMB</w:t>
      </w:r>
    </w:p>
    <w:p>
      <w:pPr>
        <w:pStyle w:val="Heading3"/>
      </w:pPr>
      <w:r>
        <w:t>Unterschriften</w:t>
      </w:r>
    </w:p>
    <w:p>
      <w:r>
        <w:t>Ort, Datum: Koeln / 97816 Lohr am Main, den 14. Mai 2024</w:t>
      </w:r>
    </w:p>
    <w:p>
      <w:r>
        <w:t>_________________________            _________________________</w:t>
        <w:br/>
        <w:t>Klaus Mueller / Sandra Becker                          Einkaufsleitung</w:t>
        <w:br/>
        <w:t>Geschaeftsfuehrung                          Bevollmaechtigte</w:t>
        <w:br/>
        <w:t>Halbreiter Maschinenbau GmbH                       Bosch Rexroth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