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Kundenprojektliste 2023-2024</w:t>
      </w:r>
    </w:p>
    <w:p>
      <w:pPr>
        <w:jc w:val="center"/>
      </w:pPr>
      <w:r>
        <w:t>Auszug aus dem CRM-System (Salesforce Sales Cloud); Stand 15. Februar 2024</w:t>
      </w:r>
    </w:p>
    <w:p/>
    <w:p>
      <w:pPr>
        <w:pStyle w:val="Heading3"/>
      </w:pPr>
      <w:r>
        <w:t>Hinweis</w:t>
      </w:r>
    </w:p>
    <w:p>
      <w:r>
        <w:t>Liste umfasst alle aktiven und in Akquisition befindlichen Projekte mit einem Volumen ≥ 250 TEUR. Status: NEW (Pipeline), DEAL (Vertrag), DELIV (in Lieferung), POSTDEL (in Service / Gewaehrleistung).</w:t>
      </w:r>
    </w:p>
    <w:p>
      <w:pPr>
        <w:pStyle w:val="Heading3"/>
      </w:pPr>
      <w:r>
        <w:t>Top-Projekte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Projektnr.</w:t>
            </w:r>
          </w:p>
        </w:tc>
        <w:tc>
          <w:tcPr>
            <w:tcW w:type="dxa" w:w="1440"/>
          </w:tcPr>
          <w:p>
            <w:r>
              <w:t>Kunde</w:t>
            </w:r>
          </w:p>
        </w:tc>
        <w:tc>
          <w:tcPr>
            <w:tcW w:type="dxa" w:w="1440"/>
          </w:tcPr>
          <w:p>
            <w:r>
              <w:t>Produkt</w:t>
            </w:r>
          </w:p>
        </w:tc>
        <w:tc>
          <w:tcPr>
            <w:tcW w:type="dxa" w:w="1440"/>
          </w:tcPr>
          <w:p>
            <w:r>
              <w:t>Volumen (k EUR)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Erwartete IBN</w:t>
            </w:r>
          </w:p>
        </w:tc>
      </w:tr>
      <w:tr>
        <w:tc>
          <w:tcPr>
            <w:tcW w:type="dxa" w:w="1440"/>
          </w:tcPr>
          <w:p>
            <w:r>
              <w:t>P-2023-014</w:t>
            </w:r>
          </w:p>
        </w:tc>
        <w:tc>
          <w:tcPr>
            <w:tcW w:type="dxa" w:w="1440"/>
          </w:tcPr>
          <w:p>
            <w:r>
              <w:t>ThyssenKrupp Steel Europe AG</w:t>
            </w:r>
          </w:p>
        </w:tc>
        <w:tc>
          <w:tcPr>
            <w:tcW w:type="dxa" w:w="1440"/>
          </w:tcPr>
          <w:p>
            <w:r>
              <w:t>Pressenlinie PL-500 Duisburg-Hamborn</w:t>
            </w:r>
          </w:p>
        </w:tc>
        <w:tc>
          <w:tcPr>
            <w:tcW w:type="dxa" w:w="1440"/>
          </w:tcPr>
          <w:p>
            <w:r>
              <w:t>3.800</w:t>
            </w:r>
          </w:p>
        </w:tc>
        <w:tc>
          <w:tcPr>
            <w:tcW w:type="dxa" w:w="1440"/>
          </w:tcPr>
          <w:p>
            <w:r>
              <w:t>DELIV</w:t>
            </w:r>
          </w:p>
        </w:tc>
        <w:tc>
          <w:tcPr>
            <w:tcW w:type="dxa" w:w="1440"/>
          </w:tcPr>
          <w:p>
            <w:r>
              <w:t>30. April 2024</w:t>
            </w:r>
          </w:p>
        </w:tc>
      </w:tr>
      <w:tr>
        <w:tc>
          <w:tcPr>
            <w:tcW w:type="dxa" w:w="1440"/>
          </w:tcPr>
          <w:p>
            <w:r>
              <w:t>P-2023-018</w:t>
            </w:r>
          </w:p>
        </w:tc>
        <w:tc>
          <w:tcPr>
            <w:tcW w:type="dxa" w:w="1440"/>
          </w:tcPr>
          <w:p>
            <w:r>
              <w:t>Bosch Rexroth AG</w:t>
            </w:r>
          </w:p>
        </w:tc>
        <w:tc>
          <w:tcPr>
            <w:tcW w:type="dxa" w:w="1440"/>
          </w:tcPr>
          <w:p>
            <w:r>
              <w:t>Foerderband FB-200 Linie 4 Lohr</w:t>
            </w:r>
          </w:p>
        </w:tc>
        <w:tc>
          <w:tcPr>
            <w:tcW w:type="dxa" w:w="1440"/>
          </w:tcPr>
          <w:p>
            <w:r>
              <w:t>752</w:t>
            </w:r>
          </w:p>
        </w:tc>
        <w:tc>
          <w:tcPr>
            <w:tcW w:type="dxa" w:w="1440"/>
          </w:tcPr>
          <w:p>
            <w:r>
              <w:t>POSTDEL</w:t>
            </w:r>
          </w:p>
        </w:tc>
        <w:tc>
          <w:tcPr>
            <w:tcW w:type="dxa" w:w="1440"/>
          </w:tcPr>
          <w:p>
            <w:r>
              <w:t>22. Januar 2024</w:t>
            </w:r>
          </w:p>
        </w:tc>
      </w:tr>
      <w:tr>
        <w:tc>
          <w:tcPr>
            <w:tcW w:type="dxa" w:w="1440"/>
          </w:tcPr>
          <w:p>
            <w:r>
              <w:t>P-2024-003</w:t>
            </w:r>
          </w:p>
        </w:tc>
        <w:tc>
          <w:tcPr>
            <w:tcW w:type="dxa" w:w="1440"/>
          </w:tcPr>
          <w:p>
            <w:r>
              <w:t>Hella GmbH &amp; Co. KGaA</w:t>
            </w:r>
          </w:p>
        </w:tc>
        <w:tc>
          <w:tcPr>
            <w:tcW w:type="dxa" w:w="1440"/>
          </w:tcPr>
          <w:p>
            <w:r>
              <w:t>Laserschneidanlage LS-800 5-Achs</w:t>
            </w:r>
          </w:p>
        </w:tc>
        <w:tc>
          <w:tcPr>
            <w:tcW w:type="dxa" w:w="1440"/>
          </w:tcPr>
          <w:p>
            <w:r>
              <w:t>1.862</w:t>
            </w:r>
          </w:p>
        </w:tc>
        <w:tc>
          <w:tcPr>
            <w:tcW w:type="dxa" w:w="1440"/>
          </w:tcPr>
          <w:p>
            <w:r>
              <w:t>DELIV</w:t>
            </w:r>
          </w:p>
        </w:tc>
        <w:tc>
          <w:tcPr>
            <w:tcW w:type="dxa" w:w="1440"/>
          </w:tcPr>
          <w:p>
            <w:r>
              <w:t>15. Juli 2024</w:t>
            </w:r>
          </w:p>
        </w:tc>
      </w:tr>
      <w:tr>
        <w:tc>
          <w:tcPr>
            <w:tcW w:type="dxa" w:w="1440"/>
          </w:tcPr>
          <w:p>
            <w:r>
              <w:t>P-2024-005</w:t>
            </w:r>
          </w:p>
        </w:tc>
        <w:tc>
          <w:tcPr>
            <w:tcW w:type="dxa" w:w="1440"/>
          </w:tcPr>
          <w:p>
            <w:r>
              <w:t>Viessmann Climate Solutions SE</w:t>
            </w:r>
          </w:p>
        </w:tc>
        <w:tc>
          <w:tcPr>
            <w:tcW w:type="dxa" w:w="1440"/>
          </w:tcPr>
          <w:p>
            <w:r>
              <w:t>Robotik MR-150 Heiztechnik</w:t>
            </w:r>
          </w:p>
        </w:tc>
        <w:tc>
          <w:tcPr>
            <w:tcW w:type="dxa" w:w="1440"/>
          </w:tcPr>
          <w:p>
            <w:r>
              <w:t>542</w:t>
            </w:r>
          </w:p>
        </w:tc>
        <w:tc>
          <w:tcPr>
            <w:tcW w:type="dxa" w:w="1440"/>
          </w:tcPr>
          <w:p>
            <w:r>
              <w:t>DELIV</w:t>
            </w:r>
          </w:p>
        </w:tc>
        <w:tc>
          <w:tcPr>
            <w:tcW w:type="dxa" w:w="1440"/>
          </w:tcPr>
          <w:p>
            <w:r>
              <w:t>22. Juli 2024</w:t>
            </w:r>
          </w:p>
        </w:tc>
      </w:tr>
      <w:tr>
        <w:tc>
          <w:tcPr>
            <w:tcW w:type="dxa" w:w="1440"/>
          </w:tcPr>
          <w:p>
            <w:r>
              <w:t>P-2024-008</w:t>
            </w:r>
          </w:p>
        </w:tc>
        <w:tc>
          <w:tcPr>
            <w:tcW w:type="dxa" w:w="1440"/>
          </w:tcPr>
          <w:p>
            <w:r>
              <w:t>Dürr AG (Werk Queretaro, Mexiko)</w:t>
            </w:r>
          </w:p>
        </w:tc>
        <w:tc>
          <w:tcPr>
            <w:tcW w:type="dxa" w:w="1440"/>
          </w:tcPr>
          <w:p>
            <w:r>
              <w:t>Pressenlinie PL-500 (Export)</w:t>
            </w:r>
          </w:p>
        </w:tc>
        <w:tc>
          <w:tcPr>
            <w:tcW w:type="dxa" w:w="1440"/>
          </w:tcPr>
          <w:p>
            <w:r>
              <w:t>3.684</w:t>
            </w:r>
          </w:p>
        </w:tc>
        <w:tc>
          <w:tcPr>
            <w:tcW w:type="dxa" w:w="1440"/>
          </w:tcPr>
          <w:p>
            <w:r>
              <w:t>DEAL</w:t>
            </w:r>
          </w:p>
        </w:tc>
        <w:tc>
          <w:tcPr>
            <w:tcW w:type="dxa" w:w="1440"/>
          </w:tcPr>
          <w:p>
            <w:r>
              <w:t>Q1/2025</w:t>
            </w:r>
          </w:p>
        </w:tc>
      </w:tr>
      <w:tr>
        <w:tc>
          <w:tcPr>
            <w:tcW w:type="dxa" w:w="1440"/>
          </w:tcPr>
          <w:p>
            <w:r>
              <w:t>P-2024-011</w:t>
            </w:r>
          </w:p>
        </w:tc>
        <w:tc>
          <w:tcPr>
            <w:tcW w:type="dxa" w:w="1440"/>
          </w:tcPr>
          <w:p>
            <w:r>
              <w:t>Haver &amp; Boecker OHG</w:t>
            </w:r>
          </w:p>
        </w:tc>
        <w:tc>
          <w:tcPr>
            <w:tcW w:type="dxa" w:w="1440"/>
          </w:tcPr>
          <w:p>
            <w:r>
              <w:t>Foerderband FB-200 ATEX</w:t>
            </w:r>
          </w:p>
        </w:tc>
        <w:tc>
          <w:tcPr>
            <w:tcW w:type="dxa" w:w="1440"/>
          </w:tcPr>
          <w:p>
            <w:r>
              <w:t>542</w:t>
            </w:r>
          </w:p>
        </w:tc>
        <w:tc>
          <w:tcPr>
            <w:tcW w:type="dxa" w:w="1440"/>
          </w:tcPr>
          <w:p>
            <w:r>
              <w:t>DEAL</w:t>
            </w:r>
          </w:p>
        </w:tc>
        <w:tc>
          <w:tcPr>
            <w:tcW w:type="dxa" w:w="1440"/>
          </w:tcPr>
          <w:p>
            <w:r>
              <w:t>8. Juli 2024</w:t>
            </w:r>
          </w:p>
        </w:tc>
      </w:tr>
      <w:tr>
        <w:tc>
          <w:tcPr>
            <w:tcW w:type="dxa" w:w="1440"/>
          </w:tcPr>
          <w:p>
            <w:r>
              <w:t>P-2024-014</w:t>
            </w:r>
          </w:p>
        </w:tc>
        <w:tc>
          <w:tcPr>
            <w:tcW w:type="dxa" w:w="1440"/>
          </w:tcPr>
          <w:p>
            <w:r>
              <w:t>Stellantis N.V. (Werk Ruesselsheim)</w:t>
            </w:r>
          </w:p>
        </w:tc>
        <w:tc>
          <w:tcPr>
            <w:tcW w:type="dxa" w:w="1440"/>
          </w:tcPr>
          <w:p>
            <w:r>
              <w:t>Pressenlinie PL-500</w:t>
            </w:r>
          </w:p>
        </w:tc>
        <w:tc>
          <w:tcPr>
            <w:tcW w:type="dxa" w:w="1440"/>
          </w:tcPr>
          <w:p>
            <w:r>
              <w:t>4.200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n. v.</w:t>
            </w:r>
          </w:p>
        </w:tc>
      </w:tr>
      <w:tr>
        <w:tc>
          <w:tcPr>
            <w:tcW w:type="dxa" w:w="1440"/>
          </w:tcPr>
          <w:p>
            <w:r>
              <w:t>P-2024-015</w:t>
            </w:r>
          </w:p>
        </w:tc>
        <w:tc>
          <w:tcPr>
            <w:tcW w:type="dxa" w:w="1440"/>
          </w:tcPr>
          <w:p>
            <w:r>
              <w:t>VW Bratislava</w:t>
            </w:r>
          </w:p>
        </w:tc>
        <w:tc>
          <w:tcPr>
            <w:tcW w:type="dxa" w:w="1440"/>
          </w:tcPr>
          <w:p>
            <w:r>
              <w:t>Robotik MR-150 (3 Zellen)</w:t>
            </w:r>
          </w:p>
        </w:tc>
        <w:tc>
          <w:tcPr>
            <w:tcW w:type="dxa" w:w="1440"/>
          </w:tcPr>
          <w:p>
            <w:r>
              <w:t>1.620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n. v.</w:t>
            </w:r>
          </w:p>
        </w:tc>
      </w:tr>
      <w:tr>
        <w:tc>
          <w:tcPr>
            <w:tcW w:type="dxa" w:w="1440"/>
          </w:tcPr>
          <w:p>
            <w:r>
              <w:t>P-2024-016</w:t>
            </w:r>
          </w:p>
        </w:tc>
        <w:tc>
          <w:tcPr>
            <w:tcW w:type="dxa" w:w="1440"/>
          </w:tcPr>
          <w:p>
            <w:r>
              <w:t>Continental AG</w:t>
            </w:r>
          </w:p>
        </w:tc>
        <w:tc>
          <w:tcPr>
            <w:tcW w:type="dxa" w:w="1440"/>
          </w:tcPr>
          <w:p>
            <w:r>
              <w:t>Foerderband FB-200 (2 Linien)</w:t>
            </w:r>
          </w:p>
        </w:tc>
        <w:tc>
          <w:tcPr>
            <w:tcW w:type="dxa" w:w="1440"/>
          </w:tcPr>
          <w:p>
            <w:r>
              <w:t>1.180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n. v.</w:t>
            </w:r>
          </w:p>
        </w:tc>
      </w:tr>
      <w:tr>
        <w:tc>
          <w:tcPr>
            <w:tcW w:type="dxa" w:w="1440"/>
          </w:tcPr>
          <w:p>
            <w:r>
              <w:t>P-2024-018</w:t>
            </w:r>
          </w:p>
        </w:tc>
        <w:tc>
          <w:tcPr>
            <w:tcW w:type="dxa" w:w="1440"/>
          </w:tcPr>
          <w:p>
            <w:r>
              <w:t>Gebr. Heyl GmbH &amp; Co. KG</w:t>
            </w:r>
          </w:p>
        </w:tc>
        <w:tc>
          <w:tcPr>
            <w:tcW w:type="dxa" w:w="1440"/>
          </w:tcPr>
          <w:p>
            <w:r>
              <w:t>Sonderwerkzeugsystem</w:t>
            </w:r>
          </w:p>
        </w:tc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t>POSTDEL</w:t>
            </w:r>
          </w:p>
        </w:tc>
        <w:tc>
          <w:tcPr>
            <w:tcW w:type="dxa" w:w="1440"/>
          </w:tcPr>
          <w:p>
            <w:r>
              <w:t>5. Februar 2024</w:t>
            </w:r>
          </w:p>
        </w:tc>
      </w:tr>
      <w:tr>
        <w:tc>
          <w:tcPr>
            <w:tcW w:type="dxa" w:w="1440"/>
          </w:tcPr>
          <w:p>
            <w:r>
              <w:t>P-2023-026</w:t>
            </w:r>
          </w:p>
        </w:tc>
        <w:tc>
          <w:tcPr>
            <w:tcW w:type="dxa" w:w="1440"/>
          </w:tcPr>
          <w:p>
            <w:r>
              <w:t>Maschinenfabrik Niehoff</w:t>
            </w:r>
          </w:p>
        </w:tc>
        <w:tc>
          <w:tcPr>
            <w:tcW w:type="dxa" w:w="1440"/>
          </w:tcPr>
          <w:p>
            <w:r>
              <w:t>Robotik MR-150 Kabelwickel</w:t>
            </w:r>
          </w:p>
        </w:tc>
        <w:tc>
          <w:tcPr>
            <w:tcW w:type="dxa" w:w="1440"/>
          </w:tcPr>
          <w:p>
            <w:r>
              <w:t>402</w:t>
            </w:r>
          </w:p>
        </w:tc>
        <w:tc>
          <w:tcPr>
            <w:tcW w:type="dxa" w:w="1440"/>
          </w:tcPr>
          <w:p>
            <w:r>
              <w:t>DELIV</w:t>
            </w:r>
          </w:p>
        </w:tc>
        <w:tc>
          <w:tcPr>
            <w:tcW w:type="dxa" w:w="1440"/>
          </w:tcPr>
          <w:p>
            <w:r>
              <w:t>22. Mai 2024</w:t>
            </w:r>
          </w:p>
        </w:tc>
      </w:tr>
    </w:tbl>
    <w:p>
      <w:pPr>
        <w:pStyle w:val="Heading3"/>
      </w:pPr>
      <w:r>
        <w:t>Pipeline</w:t>
      </w:r>
    </w:p>
    <w:p>
      <w:r>
        <w:t>Pipeline-Wert NEW: 7,00 Mio. EUR (gewichtet mit 35 % Erwartungswert: 2,45 Mio. EUR). Konversionsrate NEW-&gt;DEAL der letzten 4 Quartale: 38 %.</w:t>
      </w:r>
    </w:p>
    <w:p>
      <w:r>
        <w:t>Auftragseingang DEAL Q4/2023 + Q1/2024: 7,82 Mio. EUR (Vorjahresvergleich +14 %).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