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Kundenreklamationsstatistik 2023</w:t>
      </w:r>
    </w:p>
    <w:p>
      <w:pPr>
        <w:jc w:val="center"/>
      </w:pPr>
      <w:r>
        <w:t>Auswertung Qualitaetsmanagement, Stand 31. Januar 2024</w:t>
      </w:r>
    </w:p>
    <w:p/>
    <w:p>
      <w:pPr>
        <w:pStyle w:val="Heading3"/>
      </w:pPr>
      <w:r>
        <w:t>Gesamtbild</w:t>
      </w:r>
    </w:p>
    <w:p>
      <w:r>
        <w:t>Im Geschaeftsjahr 2023 wurden 38 Kundenreklamationen erfasst (Vorjahr 47), entspricht einer Reklamationsquote von 0,68 % bezogen auf die Anzahl ausgelieferter Auftraege (5.580). Damit liegt die Quote zum zweiten Mal in Folge unter dem internen Zielwert von 0,80 %.</w:t>
      </w:r>
    </w:p>
    <w:p>
      <w:pPr>
        <w:pStyle w:val="Heading3"/>
      </w:pPr>
      <w:r>
        <w:t>Aufschluesselung nach Produkt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Produkt</w:t>
            </w:r>
          </w:p>
        </w:tc>
        <w:tc>
          <w:tcPr>
            <w:tcW w:type="dxa" w:w="2160"/>
          </w:tcPr>
          <w:p>
            <w:r>
              <w:t>Reklamationen 2023</w:t>
            </w:r>
          </w:p>
        </w:tc>
        <w:tc>
          <w:tcPr>
            <w:tcW w:type="dxa" w:w="2160"/>
          </w:tcPr>
          <w:p>
            <w:r>
              <w:t>Reklamationen 2022</w:t>
            </w:r>
          </w:p>
        </w:tc>
        <w:tc>
          <w:tcPr>
            <w:tcW w:type="dxa" w:w="2160"/>
          </w:tcPr>
          <w:p>
            <w:r>
              <w:t>Trend</w:t>
            </w:r>
          </w:p>
        </w:tc>
      </w:tr>
      <w:tr>
        <w:tc>
          <w:tcPr>
            <w:tcW w:type="dxa" w:w="2160"/>
          </w:tcPr>
          <w:p>
            <w:r>
              <w:t>Pressenlinie PL-500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↑ (mehr ausgelieferte)</w:t>
            </w:r>
          </w:p>
        </w:tc>
      </w:tr>
      <w:tr>
        <w:tc>
          <w:tcPr>
            <w:tcW w:type="dxa" w:w="2160"/>
          </w:tcPr>
          <w:p>
            <w:r>
              <w:t>Pressenlinie PL-300 (Auslauf)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  <w:tr>
        <w:tc>
          <w:tcPr>
            <w:tcW w:type="dxa" w:w="2160"/>
          </w:tcPr>
          <w:p>
            <w:r>
              <w:t>Foerderbandanlage FB-200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  <w:tr>
        <w:tc>
          <w:tcPr>
            <w:tcW w:type="dxa" w:w="2160"/>
          </w:tcPr>
          <w:p>
            <w:r>
              <w:t>Laserschneidanlage LS-800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↑</w:t>
            </w:r>
          </w:p>
        </w:tc>
      </w:tr>
      <w:tr>
        <w:tc>
          <w:tcPr>
            <w:tcW w:type="dxa" w:w="2160"/>
          </w:tcPr>
          <w:p>
            <w:r>
              <w:t>Robotik MR-150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↑</w:t>
            </w:r>
          </w:p>
        </w:tc>
      </w:tr>
      <w:tr>
        <w:tc>
          <w:tcPr>
            <w:tcW w:type="dxa" w:w="2160"/>
          </w:tcPr>
          <w:p>
            <w:r>
              <w:t>Sonderkomponenten / Werkzeuge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↓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47</w:t>
            </w:r>
          </w:p>
        </w:tc>
      </w:tr>
    </w:tbl>
    <w:p>
      <w:pPr>
        <w:pStyle w:val="Heading3"/>
      </w:pPr>
      <w:r>
        <w:t>Top-3 Ursachen</w:t>
      </w:r>
    </w:p>
    <w:p>
      <w:r>
        <w:t>(1) Steuerungssoftware-Versions-Inkompatibilitaet bei Updates Trumpf-Module (LS-800), Anteil 18 % der Reklamationen. Massnahme: Versionsregister erweitert, FW-Test im Pre-FAT verstaerkt.</w:t>
      </w:r>
    </w:p>
    <w:p>
      <w:r>
        <w:t>(2) Sensorik-Drift (FB-200), Anteil 14 %. Massnahme: Verlagerung auf Sensirion AG Schweiz (Lieferant 2) als Zweitquelle.</w:t>
      </w:r>
    </w:p>
    <w:p>
      <w:r>
        <w:t>(3) Werkzeugverschleiss schneller als spezifiziert (PL-500 in Hartmaterial-Anwendungen). Massnahme: Werkzeugempfehlung im Inbetriebnahmeprotokoll konkretisiert.</w:t>
      </w:r>
    </w:p>
    <w:p>
      <w:pPr>
        <w:pStyle w:val="Heading3"/>
      </w:pPr>
      <w:r>
        <w:t>8D-Berichte</w:t>
      </w:r>
    </w:p>
    <w:p>
      <w:r>
        <w:t>Im Berichtszeitraum wurden 14 8D-Berichte erstellt; alle dokumentiert in QM-Datenbank (ATLAS QMS). Eskalierte 8D-Berichte (D8 ueber 30 Tage offen): 2.</w:t>
      </w:r>
    </w:p>
    <w:p>
      <w:pPr>
        <w:pStyle w:val="Heading3"/>
      </w:pPr>
      <w:r>
        <w:t>Massnahmen 2024</w:t>
      </w:r>
    </w:p>
    <w:p>
      <w:r>
        <w:t>(a) Erweiterte Eingangskontrolle bei kritischen Steuerungskomponenten; (b) Vertiefung der Schulung der Vor-Ort-Servicetechniker:innen (intern + Trumpf Academy); (c) Aufnahme einer monatlichen Reklamationsquoten-KPI in den Geschaeftsfuehrungsbericht.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