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Halbreiter Maschinenbau GmbH</w:t>
      </w:r>
    </w:p>
    <w:p>
      <w:r>
        <w:rPr>
          <w:sz w:val="18"/>
        </w:rPr>
        <w:t>Industriestraße 12, 50829 Köln  |  HRB 47312, Amtsgericht Köln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Kundenzufriedenheitsumfrage 2023</w:t>
      </w:r>
    </w:p>
    <w:p/>
    <w:p>
      <w:pPr>
        <w:pStyle w:val="Heading3"/>
      </w:pPr>
      <w:r>
        <w:t>Auftrag und Methodik</w:t>
      </w:r>
    </w:p>
    <w:p>
      <w:r>
        <w:t>Die jaehrliche Kundenzufriedenheitsumfrage wurde durch die externe Marktforschung KANTAR GmbH (Frankfurt) im Auftrag der Halbreiter Maschinenbau GmbH zwischen September und November 2023 durchgefuehrt. Befragt wurden die 32 wichtigsten Kunden (A- und B-Kunden, &gt; 70 % Umsatzanteil). Die Erhebung erfolgte mittels strukturierter Online-Befragung sowie telefonischer Tiefeninterviews mit Einkaufsleitern und technischen Ansprechpartnern. Ruecklaufquote: 78 % (25 Antworten verwertbar).</w:t>
      </w:r>
    </w:p>
    <w:p>
      <w:pPr>
        <w:pStyle w:val="Heading3"/>
      </w:pPr>
      <w:r>
        <w:t>Kernergebnisse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Dimension</w:t>
            </w:r>
          </w:p>
        </w:tc>
        <w:tc>
          <w:tcPr>
            <w:tcW w:type="dxa" w:w="2160"/>
          </w:tcPr>
          <w:p>
            <w:r>
              <w:t>Skala 1-5 (5=Top)</w:t>
            </w:r>
          </w:p>
        </w:tc>
        <w:tc>
          <w:tcPr>
            <w:tcW w:type="dxa" w:w="2160"/>
          </w:tcPr>
          <w:p>
            <w:r>
              <w:t>Vorjahr</w:t>
            </w:r>
          </w:p>
        </w:tc>
        <w:tc>
          <w:tcPr>
            <w:tcW w:type="dxa" w:w="2160"/>
          </w:tcPr>
          <w:p>
            <w:r>
              <w:t>Trend</w:t>
            </w:r>
          </w:p>
        </w:tc>
      </w:tr>
      <w:tr>
        <w:tc>
          <w:tcPr>
            <w:tcW w:type="dxa" w:w="2160"/>
          </w:tcPr>
          <w:p>
            <w:r>
              <w:t>Produktqualitaet</w:t>
            </w:r>
          </w:p>
        </w:tc>
        <w:tc>
          <w:tcPr>
            <w:tcW w:type="dxa" w:w="2160"/>
          </w:tcPr>
          <w:p>
            <w:r>
              <w:t>4,4</w:t>
            </w:r>
          </w:p>
        </w:tc>
        <w:tc>
          <w:tcPr>
            <w:tcW w:type="dxa" w:w="2160"/>
          </w:tcPr>
          <w:p>
            <w:r>
              <w:t>4,3</w:t>
            </w:r>
          </w:p>
        </w:tc>
        <w:tc>
          <w:tcPr>
            <w:tcW w:type="dxa" w:w="2160"/>
          </w:tcPr>
          <w:p>
            <w:r>
              <w:t>↗</w:t>
            </w:r>
          </w:p>
        </w:tc>
      </w:tr>
      <w:tr>
        <w:tc>
          <w:tcPr>
            <w:tcW w:type="dxa" w:w="2160"/>
          </w:tcPr>
          <w:p>
            <w:r>
              <w:t>Liefertreue (Termintreue)</w:t>
            </w:r>
          </w:p>
        </w:tc>
        <w:tc>
          <w:tcPr>
            <w:tcW w:type="dxa" w:w="2160"/>
          </w:tcPr>
          <w:p>
            <w:r>
              <w:t>4,1</w:t>
            </w:r>
          </w:p>
        </w:tc>
        <w:tc>
          <w:tcPr>
            <w:tcW w:type="dxa" w:w="2160"/>
          </w:tcPr>
          <w:p>
            <w:r>
              <w:t>4,0</w:t>
            </w:r>
          </w:p>
        </w:tc>
        <w:tc>
          <w:tcPr>
            <w:tcW w:type="dxa" w:w="2160"/>
          </w:tcPr>
          <w:p>
            <w:r>
              <w:t>↗</w:t>
            </w:r>
          </w:p>
        </w:tc>
      </w:tr>
      <w:tr>
        <w:tc>
          <w:tcPr>
            <w:tcW w:type="dxa" w:w="2160"/>
          </w:tcPr>
          <w:p>
            <w:r>
              <w:t>Servicequalitaet</w:t>
            </w:r>
          </w:p>
        </w:tc>
        <w:tc>
          <w:tcPr>
            <w:tcW w:type="dxa" w:w="2160"/>
          </w:tcPr>
          <w:p>
            <w:r>
              <w:t>4,3</w:t>
            </w:r>
          </w:p>
        </w:tc>
        <w:tc>
          <w:tcPr>
            <w:tcW w:type="dxa" w:w="2160"/>
          </w:tcPr>
          <w:p>
            <w:r>
              <w:t>4,2</w:t>
            </w:r>
          </w:p>
        </w:tc>
        <w:tc>
          <w:tcPr>
            <w:tcW w:type="dxa" w:w="2160"/>
          </w:tcPr>
          <w:p>
            <w:r>
              <w:t>↗</w:t>
            </w:r>
          </w:p>
        </w:tc>
      </w:tr>
      <w:tr>
        <w:tc>
          <w:tcPr>
            <w:tcW w:type="dxa" w:w="2160"/>
          </w:tcPr>
          <w:p>
            <w:r>
              <w:t>Preis-Leistungs-Verhaeltnis</w:t>
            </w:r>
          </w:p>
        </w:tc>
        <w:tc>
          <w:tcPr>
            <w:tcW w:type="dxa" w:w="2160"/>
          </w:tcPr>
          <w:p>
            <w:r>
              <w:t>3,9</w:t>
            </w:r>
          </w:p>
        </w:tc>
        <w:tc>
          <w:tcPr>
            <w:tcW w:type="dxa" w:w="2160"/>
          </w:tcPr>
          <w:p>
            <w:r>
              <w:t>3,8</w:t>
            </w:r>
          </w:p>
        </w:tc>
        <w:tc>
          <w:tcPr>
            <w:tcW w:type="dxa" w:w="2160"/>
          </w:tcPr>
          <w:p>
            <w:r>
              <w:t>↗</w:t>
            </w:r>
          </w:p>
        </w:tc>
      </w:tr>
      <w:tr>
        <w:tc>
          <w:tcPr>
            <w:tcW w:type="dxa" w:w="2160"/>
          </w:tcPr>
          <w:p>
            <w:r>
              <w:t>Innovationskraft</w:t>
            </w:r>
          </w:p>
        </w:tc>
        <w:tc>
          <w:tcPr>
            <w:tcW w:type="dxa" w:w="2160"/>
          </w:tcPr>
          <w:p>
            <w:r>
              <w:t>4,2</w:t>
            </w:r>
          </w:p>
        </w:tc>
        <w:tc>
          <w:tcPr>
            <w:tcW w:type="dxa" w:w="2160"/>
          </w:tcPr>
          <w:p>
            <w:r>
              <w:t>4,0</w:t>
            </w:r>
          </w:p>
        </w:tc>
        <w:tc>
          <w:tcPr>
            <w:tcW w:type="dxa" w:w="2160"/>
          </w:tcPr>
          <w:p>
            <w:r>
              <w:t>↗</w:t>
            </w:r>
          </w:p>
        </w:tc>
      </w:tr>
      <w:tr>
        <w:tc>
          <w:tcPr>
            <w:tcW w:type="dxa" w:w="2160"/>
          </w:tcPr>
          <w:p>
            <w:r>
              <w:t>Kommunikation Vertrieb</w:t>
            </w:r>
          </w:p>
        </w:tc>
        <w:tc>
          <w:tcPr>
            <w:tcW w:type="dxa" w:w="2160"/>
          </w:tcPr>
          <w:p>
            <w:r>
              <w:t>4,5</w:t>
            </w:r>
          </w:p>
        </w:tc>
        <w:tc>
          <w:tcPr>
            <w:tcW w:type="dxa" w:w="2160"/>
          </w:tcPr>
          <w:p>
            <w:r>
              <w:t>4,4</w:t>
            </w:r>
          </w:p>
        </w:tc>
        <w:tc>
          <w:tcPr>
            <w:tcW w:type="dxa" w:w="2160"/>
          </w:tcPr>
          <w:p>
            <w:r>
              <w:t>↗</w:t>
            </w:r>
          </w:p>
        </w:tc>
      </w:tr>
      <w:tr>
        <w:tc>
          <w:tcPr>
            <w:tcW w:type="dxa" w:w="2160"/>
          </w:tcPr>
          <w:p>
            <w:r>
              <w:t>Reaktion bei Reklamationen</w:t>
            </w:r>
          </w:p>
        </w:tc>
        <w:tc>
          <w:tcPr>
            <w:tcW w:type="dxa" w:w="2160"/>
          </w:tcPr>
          <w:p>
            <w:r>
              <w:t>4,0</w:t>
            </w:r>
          </w:p>
        </w:tc>
        <w:tc>
          <w:tcPr>
            <w:tcW w:type="dxa" w:w="2160"/>
          </w:tcPr>
          <w:p>
            <w:r>
              <w:t>3,9</w:t>
            </w:r>
          </w:p>
        </w:tc>
        <w:tc>
          <w:tcPr>
            <w:tcW w:type="dxa" w:w="2160"/>
          </w:tcPr>
          <w:p>
            <w:r>
              <w:t>↗</w:t>
            </w:r>
          </w:p>
        </w:tc>
      </w:tr>
      <w:tr>
        <w:tc>
          <w:tcPr>
            <w:tcW w:type="dxa" w:w="2160"/>
          </w:tcPr>
          <w:p>
            <w:r>
              <w:t>Net Promoter Score (NPS)</w:t>
            </w:r>
          </w:p>
        </w:tc>
        <w:tc>
          <w:tcPr>
            <w:tcW w:type="dxa" w:w="2160"/>
          </w:tcPr>
          <w:p>
            <w:r>
              <w:t>+48</w:t>
            </w:r>
          </w:p>
        </w:tc>
        <w:tc>
          <w:tcPr>
            <w:tcW w:type="dxa" w:w="2160"/>
          </w:tcPr>
          <w:p>
            <w:r>
              <w:t>+42</w:t>
            </w:r>
          </w:p>
        </w:tc>
        <w:tc>
          <w:tcPr>
            <w:tcW w:type="dxa" w:w="2160"/>
          </w:tcPr>
          <w:p>
            <w:r>
              <w:t>↗</w:t>
            </w:r>
          </w:p>
        </w:tc>
      </w:tr>
    </w:tbl>
    <w:p>
      <w:pPr>
        <w:pStyle w:val="Heading3"/>
      </w:pPr>
      <w:r>
        <w:t>Wesentliche Erkenntnisse</w:t>
      </w:r>
    </w:p>
    <w:p>
      <w:pPr>
        <w:pStyle w:val="ListBullet"/>
      </w:pPr>
      <w:r>
        <w:t>Hohe Zufriedenheit bei Produktqualitaet und Servicekommunikation; Bestaetigung der Premium-Positionierung.</w:t>
      </w:r>
    </w:p>
    <w:p>
      <w:pPr>
        <w:pStyle w:val="ListBullet"/>
      </w:pPr>
      <w:r>
        <w:t>Verbesserungspotenzial bei Reaktionszeit Ersatzteilversand (Wunsch &lt; 24 h).</w:t>
      </w:r>
    </w:p>
    <w:p>
      <w:pPr>
        <w:pStyle w:val="ListBullet"/>
      </w:pPr>
      <w:r>
        <w:t>Wunsch nach erweitertem Self-Service-Portal (Ersatzteil-Konfigurator, Wartungsplaner).</w:t>
      </w:r>
    </w:p>
    <w:p>
      <w:pPr>
        <w:pStyle w:val="ListBullet"/>
      </w:pPr>
      <w:r>
        <w:t>Top-5-Kunden bestaetigen Wiederkaufabsicht (»definitiv ja«) zu 92 %.</w:t>
      </w:r>
    </w:p>
    <w:p>
      <w:pPr>
        <w:pStyle w:val="ListBullet"/>
      </w:pPr>
      <w:r>
        <w:t>Kritik bei Dokumentationsstand (Software-Releases sollen frueher angekuendigt werden).</w:t>
      </w:r>
    </w:p>
    <w:p>
      <w:pPr>
        <w:pStyle w:val="Heading3"/>
      </w:pPr>
      <w:r>
        <w:t>Massnahmenplan 2024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Massnahme</w:t>
            </w:r>
          </w:p>
        </w:tc>
        <w:tc>
          <w:tcPr>
            <w:tcW w:type="dxa" w:w="2880"/>
          </w:tcPr>
          <w:p>
            <w:r>
              <w:t>Verantwortlich</w:t>
            </w:r>
          </w:p>
        </w:tc>
        <w:tc>
          <w:tcPr>
            <w:tcW w:type="dxa" w:w="2880"/>
          </w:tcPr>
          <w:p>
            <w:r>
              <w:t>Termin</w:t>
            </w:r>
          </w:p>
        </w:tc>
      </w:tr>
      <w:tr>
        <w:tc>
          <w:tcPr>
            <w:tcW w:type="dxa" w:w="2880"/>
          </w:tcPr>
          <w:p>
            <w:r>
              <w:t>Ersatzteil-Versand 24-h-Garantie A-Kunden</w:t>
            </w:r>
          </w:p>
        </w:tc>
        <w:tc>
          <w:tcPr>
            <w:tcW w:type="dxa" w:w="2880"/>
          </w:tcPr>
          <w:p>
            <w:r>
              <w:t>Vertrieb / Logistik</w:t>
            </w:r>
          </w:p>
        </w:tc>
        <w:tc>
          <w:tcPr>
            <w:tcW w:type="dxa" w:w="2880"/>
          </w:tcPr>
          <w:p>
            <w:r>
              <w:t>Q1 2024</w:t>
            </w:r>
          </w:p>
        </w:tc>
      </w:tr>
      <w:tr>
        <w:tc>
          <w:tcPr>
            <w:tcW w:type="dxa" w:w="2880"/>
          </w:tcPr>
          <w:p>
            <w:r>
              <w:t>Customer-Portal v2 (Wartungsplaner)</w:t>
            </w:r>
          </w:p>
        </w:tc>
        <w:tc>
          <w:tcPr>
            <w:tcW w:type="dxa" w:w="2880"/>
          </w:tcPr>
          <w:p>
            <w:r>
              <w:t>IT / Service</w:t>
            </w:r>
          </w:p>
        </w:tc>
        <w:tc>
          <w:tcPr>
            <w:tcW w:type="dxa" w:w="2880"/>
          </w:tcPr>
          <w:p>
            <w:r>
              <w:t>Q3 2024</w:t>
            </w:r>
          </w:p>
        </w:tc>
      </w:tr>
      <w:tr>
        <w:tc>
          <w:tcPr>
            <w:tcW w:type="dxa" w:w="2880"/>
          </w:tcPr>
          <w:p>
            <w:r>
              <w:t>Roadmap-Communication-Plan Software</w:t>
            </w:r>
          </w:p>
        </w:tc>
        <w:tc>
          <w:tcPr>
            <w:tcW w:type="dxa" w:w="2880"/>
          </w:tcPr>
          <w:p>
            <w:r>
              <w:t>Produktmanagement</w:t>
            </w:r>
          </w:p>
        </w:tc>
        <w:tc>
          <w:tcPr>
            <w:tcW w:type="dxa" w:w="2880"/>
          </w:tcPr>
          <w:p>
            <w:r>
              <w:t>Q2 2024</w:t>
            </w:r>
          </w:p>
        </w:tc>
      </w:tr>
      <w:tr>
        <w:tc>
          <w:tcPr>
            <w:tcW w:type="dxa" w:w="2880"/>
          </w:tcPr>
          <w:p>
            <w:r>
              <w:t>Re-Audit ISO 9001 mit Fokus Reklamation</w:t>
            </w:r>
          </w:p>
        </w:tc>
        <w:tc>
          <w:tcPr>
            <w:tcW w:type="dxa" w:w="2880"/>
          </w:tcPr>
          <w:p>
            <w:r>
              <w:t>Qualitaetswesen</w:t>
            </w:r>
          </w:p>
        </w:tc>
        <w:tc>
          <w:tcPr>
            <w:tcW w:type="dxa" w:w="2880"/>
          </w:tcPr>
          <w:p>
            <w:r>
              <w:t>Q4 2024</w:t>
            </w:r>
          </w:p>
        </w:tc>
      </w:tr>
    </w:tbl>
    <w:p>
      <w:pPr>
        <w:pStyle w:val="Heading3"/>
      </w:pPr>
      <w:r>
        <w:t>Schlussbemerkung</w:t>
      </w:r>
    </w:p>
    <w:p>
      <w:r>
        <w:t>Die Geschaeftsfuehrung hat die Ergebnisse am 12. Dezember 2023 zur Kenntnis genommen und den Massnahmenplan 2024 freigegeben. Die naechste Erhebung ist fuer Q3/2024 vorgesehen.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