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Halbreiter Maschinenbau GmbH</w:t>
      </w:r>
    </w:p>
    <w:p>
      <w:r>
        <w:rPr>
          <w:sz w:val="18"/>
        </w:rPr>
        <w:t>Industriestraße 12, 50829 Köln  |  HRB 47312, Amtsgericht Köln</w:t>
      </w:r>
    </w:p>
    <w:p>
      <w:r>
        <w:t>────────────────────────────────────────────────────────────────────────────────</w:t>
      </w:r>
    </w:p>
    <w:p>
      <w:pPr>
        <w:pStyle w:val="Heading2"/>
      </w:pPr>
      <w:r>
        <w:t>Rahmenvertrag ThyssenKrupp Steel Europe AG 2023 (Kurzfassung)</w:t>
      </w:r>
    </w:p>
    <w:p/>
    <w:p>
      <w:pPr>
        <w:pStyle w:val="Heading3"/>
      </w:pPr>
      <w:r>
        <w:t>Vertragsparteien</w:t>
      </w:r>
    </w:p>
    <w:p>
      <w:r>
        <w:t>Halbreiter Maschinenbau GmbH, Industriestraße 12, 50829 Köln ('Lieferant') und ThyssenKrupp Steel Europe AG, Kaiser-Wilhelm-Strasse 100, 47166 Duisburg, eingetragen im Handelsregister des AG Duisburg HRB 9326 ('Besteller').</w:t>
      </w:r>
    </w:p>
    <w:p>
      <w:pPr>
        <w:pStyle w:val="Heading3"/>
      </w:pPr>
      <w:r>
        <w:t>Praeambel</w:t>
      </w:r>
    </w:p>
    <w:p>
      <w:r>
        <w:t>Der Lieferant ist auf Entwicklung und Herstellung von Sondermaschinen, insbesondere Pressenlinien, spezialisiert. Der Besteller setzt diese Maschinen in seinen Stahlwerken zur Weiterverarbeitung von Walzprodukten ein. Die Parteien schliessen diesen Rahmenvertrag zur Vereinheitlichung der Liefer- und Vertragsbedingungen fuer die kommenden Abrufe.</w:t>
      </w:r>
    </w:p>
    <w:p>
      <w:pPr>
        <w:pStyle w:val="Heading3"/>
      </w:pPr>
      <w:r>
        <w:t>Vertragsinhalt</w:t>
      </w:r>
    </w:p>
    <w:p>
      <w:pPr>
        <w:pStyle w:val="Heading4"/>
      </w:pPr>
      <w:r>
        <w:t>§ 1 Vertragsgegenstand</w:t>
      </w:r>
    </w:p>
    <w:p>
      <w:r>
        <w:rPr>
          <w:b/>
        </w:rPr>
        <w:t xml:space="preserve">(1) </w:t>
      </w:r>
      <w:r>
        <w:t>Gegenstand sind die Lieferung von Pressenlinien der Baureihe PL-500 sowie zugehoerige Ersatzteile, Serviceleistungen und Inbetriebnahmen.</w:t>
      </w:r>
    </w:p>
    <w:p>
      <w:r>
        <w:rPr>
          <w:b/>
        </w:rPr>
        <w:t xml:space="preserve">(2) </w:t>
      </w:r>
      <w:r>
        <w:t>Konkrete Liefermengen, Lieferorte und Preisstaffeln werden ueber Einzelabrufe (Bestellungen) festgelegt; ein Mindestabnahmevolumen ist nicht vereinbart.</w:t>
      </w:r>
    </w:p>
    <w:p>
      <w:pPr>
        <w:pStyle w:val="Heading4"/>
      </w:pPr>
      <w:r>
        <w:t>§ 2 Preise und Zahlung</w:t>
      </w:r>
    </w:p>
    <w:p>
      <w:r>
        <w:rPr>
          <w:b/>
        </w:rPr>
        <w:t xml:space="preserve">(1) </w:t>
      </w:r>
      <w:r>
        <w:t>Preise nach Preisliste 2023, Stand 1. Februar 2023. Eine jaehrliche Indexierung erfolgt nach VDMA-Preisgleitklausel.</w:t>
      </w:r>
    </w:p>
    <w:p>
      <w:r>
        <w:rPr>
          <w:b/>
        </w:rPr>
        <w:t xml:space="preserve">(2) </w:t>
      </w:r>
      <w:r>
        <w:t>Zahlungsziel 30 Tage netto ab Rechnungserhalt; Skonto 2 % bei Zahlung binnen 14 Tagen.</w:t>
      </w:r>
    </w:p>
    <w:p>
      <w:r>
        <w:rPr>
          <w:b/>
        </w:rPr>
        <w:t xml:space="preserve">(3) </w:t>
      </w:r>
      <w:r>
        <w:t>Bei Anlagen ueber 500 TEUR Auftragswert: Vorauszahlung 30 % bei AB, 60 % bei Versand, 10 % nach erfolgreicher Abnahme.</w:t>
      </w:r>
    </w:p>
    <w:p>
      <w:pPr>
        <w:pStyle w:val="Heading4"/>
      </w:pPr>
      <w:r>
        <w:t>§ 3 Lieferung und Gefahruebergang</w:t>
      </w:r>
    </w:p>
    <w:p>
      <w:r>
        <w:rPr>
          <w:b/>
        </w:rPr>
        <w:t xml:space="preserve">(1) </w:t>
      </w:r>
      <w:r>
        <w:t>Lieferung DAP Werk Duisburg (INCOTERMS 2020). Gefahruebergang mit Anlieferung am Werkstor des Bestellers.</w:t>
      </w:r>
    </w:p>
    <w:p>
      <w:pPr>
        <w:pStyle w:val="Heading4"/>
      </w:pPr>
      <w:r>
        <w:t>§ 4 Gewaehrleistung</w:t>
      </w:r>
    </w:p>
    <w:p>
      <w:r>
        <w:rPr>
          <w:b/>
        </w:rPr>
        <w:t xml:space="preserve">(1) </w:t>
      </w:r>
      <w:r>
        <w:t>24 Monate ab erfolgreicher Abnahme. Verlaengerung auf 36 Monate gegen Aufpreis 2,5 % moeglich.</w:t>
      </w:r>
    </w:p>
    <w:p>
      <w:r>
        <w:rPr>
          <w:b/>
        </w:rPr>
        <w:t xml:space="preserve">(2) </w:t>
      </w:r>
      <w:r>
        <w:t>Reaktionszeit bei Stoerungen Klasse A (Anlagenstillstand): 4 Stunden remote / 24 Stunden vor Ort.</w:t>
      </w:r>
    </w:p>
    <w:p>
      <w:pPr>
        <w:pStyle w:val="Heading4"/>
      </w:pPr>
      <w:r>
        <w:t>§ 5 Haftung</w:t>
      </w:r>
    </w:p>
    <w:p>
      <w:r>
        <w:rPr>
          <w:b/>
        </w:rPr>
        <w:t xml:space="preserve">(1) </w:t>
      </w:r>
      <w:r>
        <w:t>Haftung beschraenkt auf den 2-fachen Auftragswert pro Schadensereignis, kumuliert auf 6 Mio. EUR pro Vertragsjahr; ausgenommen Vorsatz, grobe Fahrlaessigkeit, Verletzung wesentlicher Vertragspflichten.</w:t>
      </w:r>
    </w:p>
    <w:p>
      <w:pPr>
        <w:pStyle w:val="Heading4"/>
      </w:pPr>
      <w:r>
        <w:t>§ 6 Compliance und Lieferketten</w:t>
      </w:r>
    </w:p>
    <w:p>
      <w:r>
        <w:rPr>
          <w:b/>
        </w:rPr>
        <w:t xml:space="preserve">(1) </w:t>
      </w:r>
      <w:r>
        <w:t>Die Parteien erkennen gegenseitig die Verhaltenskodexe (Code of Conduct) sowie die Lieferkettensorgfaltspflicht (LkSG, ab 2024 auch fuer den Lieferanten verbindlich) an.</w:t>
      </w:r>
    </w:p>
    <w:p>
      <w:pPr>
        <w:pStyle w:val="Heading4"/>
      </w:pPr>
      <w:r>
        <w:t>§ 7 Laufzeit und Schlussbestimmungen</w:t>
      </w:r>
    </w:p>
    <w:p>
      <w:r>
        <w:rPr>
          <w:b/>
        </w:rPr>
        <w:t xml:space="preserve">(1) </w:t>
      </w:r>
      <w:r>
        <w:t>Laufzeit 1.1.2023 - 31.12.2025 mit automatischer Verlaengerung um jeweils 12 Monate, wenn nicht 6 Monate vor Ablauf gekuendigt wird. Gerichtsstand: Duesseldorf. Schriftform.</w:t>
      </w:r>
    </w:p>
    <w:p>
      <w:pPr>
        <w:pStyle w:val="Heading3"/>
      </w:pPr>
      <w:r>
        <w:t>Unterschriften</w:t>
      </w:r>
    </w:p>
    <w:p>
      <w:r>
        <w:t>Ort, Datum: Koeln/Duisburg, den 20. Februar 2023</w:t>
      </w:r>
    </w:p>
    <w:p>
      <w:r>
        <w:t>_________________________            _________________________</w:t>
        <w:br/>
        <w:t>Klaus Müller                          Dr. Bernhard Osburg</w:t>
        <w:br/>
        <w:t>Geschaeftsfuehrer                          Vorstand Steel</w:t>
        <w:br/>
        <w:t>Halbreiter Maschinenbau GmbH                       ThyssenKrupp Steel Europe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