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Rahmen-Liefervertrag – Trumpf SE + Co. KG</w:t>
      </w:r>
    </w:p>
    <w:p>
      <w:pPr>
        <w:jc w:val="center"/>
      </w:pPr>
      <w:r>
        <w:t>Kategorie: Faserlaser-Resonatoren, Schneidkoepfe, Wartung; Schwerpunkt: Schluessellieferant Laser; Laufzeit: 36 Monate</w:t>
      </w:r>
    </w:p>
    <w:p/>
    <w:p>
      <w:pPr>
        <w:pStyle w:val="Heading3"/>
      </w:pPr>
      <w:r>
        <w:t>Vertragsparteien</w:t>
      </w:r>
    </w:p>
    <w:p>
      <w:r>
        <w:t>Auftraggeberin: Halbreiter Maschinenbau GmbH, HRB 47312 AG Koeln.</w:t>
      </w:r>
    </w:p>
    <w:p>
      <w:r>
        <w:t>Lieferantin: Trumpf SE + Co. KG, Johann-Maus-Strasse 2, 71254 Ditzingen.</w:t>
      </w:r>
    </w:p>
    <w:p>
      <w:pPr>
        <w:pStyle w:val="Heading3"/>
      </w:pPr>
      <w:r>
        <w:t>Praeambel</w:t>
      </w:r>
    </w:p>
    <w:p>
      <w:r>
        <w:t>Die Halbreiter Maschinenbau GmbH bezieht ueber einen Jahreshorizont rund 1.900.000 EUR an Faserlaser-Resonatoren, Schneidkoepfe, Wartung. Mit diesem Rahmenvertrag werden die kaufmaennischen, technischen und qualitativen Bedingungen fuer Einzelbestellungen einheitlich festgelegt. Schwerpunkt: Schluessellieferant Laser.</w:t>
      </w:r>
    </w:p>
    <w:p>
      <w:pPr>
        <w:pStyle w:val="Heading3"/>
      </w:pPr>
      <w:r>
        <w:t>Vertragsregelungen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Gegenstand sind sukzessive Einzelbestellungen, die unter diesem Rahmenvertrag abgerufen werden. Die in den jeweiligen Bestellungen genannten Positionen sind verbindlich.</w:t>
      </w:r>
    </w:p>
    <w:p>
      <w:r>
        <w:rPr>
          <w:b/>
        </w:rPr>
        <w:t xml:space="preserve">(2) </w:t>
      </w:r>
      <w:r>
        <w:t>Eine bestimmte Mindestabnahme ist nicht zugesichert; sofern eine sog. »Take-or-Pay«-Verpflichtung gewuenscht ist, wird dies in Anhang 2 separat geregelt.</w:t>
      </w:r>
    </w:p>
    <w:p>
      <w:pPr>
        <w:pStyle w:val="Heading4"/>
      </w:pPr>
      <w:r>
        <w:t>§ 2 Preise und Konditionen</w:t>
      </w:r>
    </w:p>
    <w:p>
      <w:r>
        <w:rPr>
          <w:b/>
        </w:rPr>
        <w:t xml:space="preserve">(1) </w:t>
      </w:r>
      <w:r>
        <w:t>Preise gemaess Preisliste Anhang 1; Preisanpassung jaehrlich (Stahl-/Aluminium-Index, Lohnentwicklung gemaess M+E NRW). Bei &gt; +/- 5 % Index-Sprung Sondervorlauf.</w:t>
      </w:r>
    </w:p>
    <w:p>
      <w:r>
        <w:rPr>
          <w:b/>
        </w:rPr>
        <w:t xml:space="preserve">(2) </w:t>
      </w:r>
      <w:r>
        <w:t>Skonto: 2 % bei Zahlung binnen 14 Tagen; 30 Tage netto. Mengenrabattstaffel siehe Anhang 1.</w:t>
      </w:r>
    </w:p>
    <w:p>
      <w:pPr>
        <w:pStyle w:val="Heading4"/>
      </w:pPr>
      <w:r>
        <w:t>§ 3 Forecast / EDI / SCM-Anbindung</w:t>
      </w:r>
    </w:p>
    <w:p>
      <w:r>
        <w:rPr>
          <w:b/>
        </w:rPr>
        <w:t xml:space="preserve">(1) </w:t>
      </w:r>
      <w:r>
        <w:t>Halbreiter Maschinenbau GmbH stellt rollierend einen 6-Monats-Forecast bereit. Bestelluebermittlung erfolgt ueber EDIFACT (ORDERS, DESADV, INVOIC) oder OPC-UA. Eine VMI-Vereinbarung (Vendor-Managed-Inventory) wird im Bedarfsfall separat geschlossen.</w:t>
      </w:r>
    </w:p>
    <w:p>
      <w:pPr>
        <w:pStyle w:val="Heading4"/>
      </w:pPr>
      <w:r>
        <w:t>§ 4 Qualitaet / Erstmuster / Audit</w:t>
      </w:r>
    </w:p>
    <w:p>
      <w:r>
        <w:rPr>
          <w:b/>
        </w:rPr>
        <w:t xml:space="preserve">(1) </w:t>
      </w:r>
      <w:r>
        <w:t>Erstmusterpruefberichte gemaess VDA Band 2; Q-Audits im 24-Monats-Rhythmus. Bei Reklamationsquote &gt; 0,5 % automatische Reaktivierung der erweiterten Eingangskontrolle.</w:t>
      </w:r>
    </w:p>
    <w:p>
      <w:pPr>
        <w:pStyle w:val="Heading4"/>
      </w:pPr>
      <w:r>
        <w:t>§ 5 Lieferung / Logistik</w:t>
      </w:r>
    </w:p>
    <w:p>
      <w:r>
        <w:rPr>
          <w:b/>
        </w:rPr>
        <w:t xml:space="preserve">(1) </w:t>
      </w:r>
      <w:r>
        <w:t>DAP Werk Koeln (INCOTERMS 2020); Anlieferung Tor 3 Halle C; ASN 24 Std. vorab.</w:t>
      </w:r>
    </w:p>
    <w:p>
      <w:pPr>
        <w:pStyle w:val="Heading4"/>
      </w:pPr>
      <w:r>
        <w:t>§ 6 Gewaehrleistung / Haftung</w:t>
      </w:r>
    </w:p>
    <w:p>
      <w:r>
        <w:rPr>
          <w:b/>
        </w:rPr>
        <w:t xml:space="preserve">(1) </w:t>
      </w:r>
      <w:r>
        <w:t>Gewaehrleistung 36 Monate ab Wareneingang. Haftung begrenzt auf 200 % des Vertragswertes pro Schadensereignis; ausgenommen Vorsatz, grobe Fahrlaessigkeit, Personenschaeden und Produkthaftung.</w:t>
      </w:r>
    </w:p>
    <w:p>
      <w:pPr>
        <w:pStyle w:val="Heading4"/>
      </w:pPr>
      <w:r>
        <w:t>§ 7 Compliance / Lieferkette</w:t>
      </w:r>
    </w:p>
    <w:p>
      <w:r>
        <w:rPr>
          <w:b/>
        </w:rPr>
        <w:t xml:space="preserve">(1) </w:t>
      </w:r>
      <w:r>
        <w:t>Anerkennung Code of Conduct (Anhang 3) und LkSG-Erklaerung. Sub-Tier-Bekanntgabe auf Anforderung. Bei Verdacht auf Sanktionsverstoss sofortige Information.</w:t>
      </w:r>
    </w:p>
    <w:p>
      <w:pPr>
        <w:pStyle w:val="Heading4"/>
      </w:pPr>
      <w:r>
        <w:t>§ 8 Vertraulichkeit</w:t>
      </w:r>
    </w:p>
    <w:p>
      <w:r>
        <w:rPr>
          <w:b/>
        </w:rPr>
        <w:t xml:space="preserve">(1) </w:t>
      </w:r>
      <w:r>
        <w:t>Saemtliche Daten und Konstruktionszeichnungen sind vertraulich; eine separate NDA (Anhang 4) gilt.</w:t>
      </w:r>
    </w:p>
    <w:p>
      <w:pPr>
        <w:pStyle w:val="Heading4"/>
      </w:pPr>
      <w:r>
        <w:t>§ 9 Laufzeit / Kuendigung</w:t>
      </w:r>
    </w:p>
    <w:p>
      <w:r>
        <w:rPr>
          <w:b/>
        </w:rPr>
        <w:t xml:space="preserve">(1) </w:t>
      </w:r>
      <w:r>
        <w:t>36 Monate, danach Verlaengerung um 12 Monate (Kuendigung 6 Monate vorab). Ausserordentliche Kuendigung bei wesentlichen Vertragsverstoessen.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Es gilt deutsches Recht; Gerichtsstand Koeln.</w:t>
      </w:r>
    </w:p>
    <w:p>
      <w:pPr>
        <w:pStyle w:val="Heading3"/>
      </w:pPr>
      <w:r>
        <w:t>Anhaenge</w:t>
      </w:r>
    </w:p>
    <w:p>
      <w:r>
        <w:t>1: Preisliste / Konditionen</w:t>
        <w:br/>
        <w:t>2: Take-or-Pay (sofern relevant)</w:t>
        <w:br/>
        <w:t>3: Code of Conduct MMB</w:t>
        <w:br/>
        <w:t>4: NDA</w:t>
      </w:r>
    </w:p>
    <w:p>
      <w:pPr>
        <w:pStyle w:val="Heading3"/>
      </w:pPr>
      <w:r>
        <w:t>Unterschriften</w:t>
      </w:r>
    </w:p>
    <w:p>
      <w:r>
        <w:t>Ort, Datum: Koeln / 71254 Ditzingen, den —</w:t>
      </w:r>
    </w:p>
    <w:p>
      <w:r>
        <w:t>_________________________            _________________________</w:t>
        <w:br/>
        <w:t>Sandra Becker                          Verkaufsleitung</w:t>
        <w:br/>
        <w:t>CFO                          i. e. S.</w:t>
        <w:br/>
        <w:t>Halbreiter Maschinenbau GmbH                       Trumpf SE + Co.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