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Eingangsrechnung – Schunk GmbH &amp; Co. KG</w:t>
      </w:r>
    </w:p>
    <w:p>
      <w:pPr>
        <w:jc w:val="center"/>
      </w:pPr>
      <w:r>
        <w:t>Rechnungsdatum: 18. Januar 2024</w:t>
      </w:r>
    </w:p>
    <w:p/>
    <w:p>
      <w:pPr>
        <w:pStyle w:val="Heading3"/>
      </w:pPr>
      <w:r>
        <w:t>Rechnungssteller (Lieferant)</w:t>
      </w:r>
    </w:p>
    <w:p>
      <w:r>
        <w:t>Schunk GmbH &amp; Co. KG</w:t>
        <w:br/>
        <w:t>Bahnhofstrasse 106-134, 74348 Lauffen am Neckar</w:t>
        <w:br/>
        <w:t>Lieferantennummer (intern): L-001</w:t>
      </w:r>
    </w:p>
    <w:p>
      <w:pPr>
        <w:pStyle w:val="Heading3"/>
      </w:pPr>
      <w:r>
        <w:t>Bezug und Wareneingang</w:t>
      </w:r>
    </w:p>
    <w:p>
      <w:r>
        <w:t>Bezug: Bestellung BE-2024-01-0142.</w:t>
        <w:br/>
        <w:t>Wareneingang gebucht durch Wareneingang Halle C, Buchungsdatum lt. Lieferschein. Pruefung durch Stefan Braun (Einkauf) am Tage des Wareneingangs.</w:t>
      </w:r>
    </w:p>
    <w:p>
      <w:pPr>
        <w:pStyle w:val="Heading3"/>
      </w:pPr>
      <w:r>
        <w:t>Rechnungspositionen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</w:t>
            </w:r>
          </w:p>
        </w:tc>
        <w:tc>
          <w:tcPr>
            <w:tcW w:type="dxa" w:w="1440"/>
          </w:tcPr>
          <w:p>
            <w:r>
              <w:t>Beschreibung</w:t>
            </w:r>
          </w:p>
        </w:tc>
        <w:tc>
          <w:tcPr>
            <w:tcW w:type="dxa" w:w="1440"/>
          </w:tcPr>
          <w:p>
            <w:r>
              <w:t>Menge</w:t>
            </w:r>
          </w:p>
        </w:tc>
        <w:tc>
          <w:tcPr>
            <w:tcW w:type="dxa" w:w="1440"/>
          </w:tcPr>
          <w:p>
            <w:r>
              <w:t>Einheit</w:t>
            </w:r>
          </w:p>
        </w:tc>
        <w:tc>
          <w:tcPr>
            <w:tcW w:type="dxa" w:w="1440"/>
          </w:tcPr>
          <w:p>
            <w:r>
              <w:t>Einzelpreis EUR</w:t>
            </w:r>
          </w:p>
        </w:tc>
        <w:tc>
          <w:tcPr>
            <w:tcW w:type="dxa" w:w="1440"/>
          </w:tcPr>
          <w:p>
            <w:r>
              <w:t>Gesamt EUR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Kraftspannblock pneumatisch 200 mm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St.</w:t>
            </w:r>
          </w:p>
        </w:tc>
        <w:tc>
          <w:tcPr>
            <w:tcW w:type="dxa" w:w="1440"/>
          </w:tcPr>
          <w:p>
            <w:r>
              <w:t>1.580,00</w:t>
            </w:r>
          </w:p>
        </w:tc>
        <w:tc>
          <w:tcPr>
            <w:tcW w:type="dxa" w:w="1440"/>
          </w:tcPr>
          <w:p>
            <w:r>
              <w:t>12.640,00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Parallelgreifer 160 mm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St.</w:t>
            </w:r>
          </w:p>
        </w:tc>
        <w:tc>
          <w:tcPr>
            <w:tcW w:type="dxa" w:w="1440"/>
          </w:tcPr>
          <w:p>
            <w:r>
              <w:t>892,00</w:t>
            </w:r>
          </w:p>
        </w:tc>
        <w:tc>
          <w:tcPr>
            <w:tcW w:type="dxa" w:w="1440"/>
          </w:tcPr>
          <w:p>
            <w:r>
              <w:t>10.704,00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Magnetfeldsensor M8x1 PNP</w:t>
            </w:r>
          </w:p>
        </w:tc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St.</w:t>
            </w:r>
          </w:p>
        </w:tc>
        <w:tc>
          <w:tcPr>
            <w:tcW w:type="dxa" w:w="1440"/>
          </w:tcPr>
          <w:p>
            <w:r>
              <w:t>78,00</w:t>
            </w:r>
          </w:p>
        </w:tc>
        <w:tc>
          <w:tcPr>
            <w:tcW w:type="dxa" w:w="1440"/>
          </w:tcPr>
          <w:p>
            <w:r>
              <w:t>3.744,00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Zwischensumme netto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27.088,00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Umsatzsteuer 19 %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5.146,72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GESAMT brutto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32.234,72</w:t>
            </w:r>
          </w:p>
        </w:tc>
      </w:tr>
    </w:tbl>
    <w:p>
      <w:pPr>
        <w:pStyle w:val="Heading3"/>
      </w:pPr>
      <w:r>
        <w:t>Zahlungspruefung</w:t>
      </w:r>
    </w:p>
    <w:p>
      <w:r>
        <w:t>Sachliche und rechnerische Pruefung durch Buchhaltung Kreditoren (Frau Anja Lenz). Freigabe in SAP MM unter Belegnummer und 4-Augen-Prinzip durch den Bereichsleiter Einkauf (Holger Brinkmann). Skontofrist 14 Tage; Zahlungslauf Mittwoch und Freitag.</w:t>
      </w:r>
    </w:p>
    <w:p>
      <w:pPr>
        <w:pStyle w:val="Heading3"/>
      </w:pPr>
      <w:r>
        <w:t>Kontierung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Konto</w:t>
            </w:r>
          </w:p>
        </w:tc>
        <w:tc>
          <w:tcPr>
            <w:tcW w:type="dxa" w:w="2880"/>
          </w:tcPr>
          <w:p>
            <w:r>
              <w:t>Bezeichnung</w:t>
            </w:r>
          </w:p>
        </w:tc>
        <w:tc>
          <w:tcPr>
            <w:tcW w:type="dxa" w:w="2880"/>
          </w:tcPr>
          <w:p>
            <w:r>
              <w:t>Anteil</w:t>
            </w:r>
          </w:p>
        </w:tc>
      </w:tr>
      <w:tr>
        <w:tc>
          <w:tcPr>
            <w:tcW w:type="dxa" w:w="2880"/>
          </w:tcPr>
          <w:p>
            <w:r>
              <w:t>3400/3401</w:t>
            </w:r>
          </w:p>
        </w:tc>
        <w:tc>
          <w:tcPr>
            <w:tcW w:type="dxa" w:w="2880"/>
          </w:tcPr>
          <w:p>
            <w:r>
              <w:t>Wareneingang/Bestandsveraenderung</w:t>
            </w:r>
          </w:p>
        </w:tc>
        <w:tc>
          <w:tcPr>
            <w:tcW w:type="dxa" w:w="2880"/>
          </w:tcPr>
          <w:p>
            <w:r>
              <w:t>100 %</w:t>
            </w:r>
          </w:p>
        </w:tc>
      </w:tr>
      <w:tr>
        <w:tc>
          <w:tcPr>
            <w:tcW w:type="dxa" w:w="2880"/>
          </w:tcPr>
          <w:p>
            <w:r>
              <w:t>1576</w:t>
            </w:r>
          </w:p>
        </w:tc>
        <w:tc>
          <w:tcPr>
            <w:tcW w:type="dxa" w:w="2880"/>
          </w:tcPr>
          <w:p>
            <w:r>
              <w:t>Vorsteuer 19 %</w:t>
            </w:r>
          </w:p>
        </w:tc>
        <w:tc>
          <w:tcPr>
            <w:tcW w:type="dxa" w:w="2880"/>
          </w:tcPr>
          <w:p>
            <w:r>
              <w:t>5.146,72 EUR</w:t>
            </w:r>
          </w:p>
        </w:tc>
      </w:tr>
      <w:tr>
        <w:tc>
          <w:tcPr>
            <w:tcW w:type="dxa" w:w="2880"/>
          </w:tcPr>
          <w:p>
            <w:r>
              <w:t>1600</w:t>
            </w:r>
          </w:p>
        </w:tc>
        <w:tc>
          <w:tcPr>
            <w:tcW w:type="dxa" w:w="2880"/>
          </w:tcPr>
          <w:p>
            <w:r>
              <w:t>Verbindlichkeiten LuL</w:t>
            </w:r>
          </w:p>
        </w:tc>
        <w:tc>
          <w:tcPr>
            <w:tcW w:type="dxa" w:w="2880"/>
          </w:tcPr>
          <w:p>
            <w:r>
              <w:t>32.234,72 EUR</w:t>
            </w:r>
          </w:p>
        </w:tc>
      </w:tr>
    </w:tbl>
    <w:p>
      <w:pPr>
        <w:pStyle w:val="Heading3"/>
      </w:pPr>
      <w:r>
        <w:t>Steuerliche Angaben Lieferant</w:t>
      </w:r>
    </w:p>
    <w:p>
      <w:r>
        <w:t>Die Rechnung erfuellt die Anforderungen § 14 UStG. USt-IdNr. Halbreiter Maschinenbau GmbH: DE 198 765 432</w:t>
        <w:br/>
        <w:t>Steuernummer: 215/5765/9876, Finanzamt Koeln-Nord</w:t>
      </w:r>
    </w:p>
    <w:p>
      <w:pPr>
        <w:pStyle w:val="Heading3"/>
      </w:pPr>
      <w:r>
        <w:t>Hinweise und Archivierung</w:t>
      </w:r>
    </w:p>
    <w:p>
      <w:r>
        <w:t>Die Rechnung wurde elektronisch (ZUGFeRD 2.1 / X-Rechnung) ueber das Lieferantenportal eingereicht; das Original liegt revisionssicher in der Belegablage Kreditorenbuchhaltung (Archivnummer KRDT-2024). Aufbewahrungsfrist 10 Jahre gemaess § 147 AO. Reklamationen werden ueber das Wareneingangs-Beanstandungs-formular (Vordruck MMB-WE-Q-014) abgewickelt; Frist 14 Tage ab Rechnungserhalt. Skontoabzug ist nur bei fristgerechter Zahlung zulaessig, der Skonto-Tag wird im SAP MM-Beleg automatisch berechnet. Bankverbindung des Lieferanten ergibt sich aus dem Stammsatz im SAP-System und wurde vor Buchung gegen Bankverbindungs-Whitelist (Compliance, Frau Anja Lenz) abgeglichen, um Lieferantenbetrug (CEO-Fraud, Fake-IBAN) zu vermeiden. Bei Abweichungen wird ein 4-Augen-Verifikationsprozess ausgeloest (telefonische Rueckbestaetigung durch den Kreditorenstamm-Verantwortlichen).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