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Lieferantenbewertung 2023</w:t>
      </w:r>
    </w:p>
    <w:p/>
    <w:p>
      <w:pPr>
        <w:pStyle w:val="Heading3"/>
      </w:pPr>
      <w:r>
        <w:t>Zweck und Methodik</w:t>
      </w:r>
    </w:p>
    <w:p>
      <w:r>
        <w:t>Die jaehrliche Lieferantenbewertung 2023 dient der systematischen Beurteilung der A- und B-Lieferanten der Halbreiter Maschinenbau GmbH gemaess der Verfahrensanweisung VA-EK-005. Die Bewertung erfolgt anhand von vier Kriterien (Qualitaet 40 %, Liefertreue 30 %, Preis/Konditionen 20 %, Service/Kommunikation 10 %). Die Erhebung wurde im Dezember 2023 durch die Einkaufsabteilung in Zusammenarbeit mit Qualitaetssicherung und Wareneingang vorgenommen.</w:t>
      </w:r>
    </w:p>
    <w:p>
      <w:pPr>
        <w:pStyle w:val="Heading3"/>
      </w:pPr>
      <w:r>
        <w:t>Bewertungsuebersicht (Top-Lieferanten)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Lieferant</w:t>
            </w:r>
          </w:p>
        </w:tc>
        <w:tc>
          <w:tcPr>
            <w:tcW w:type="dxa" w:w="1080"/>
          </w:tcPr>
          <w:p>
            <w:r>
              <w:t>Kategorie</w:t>
            </w:r>
          </w:p>
        </w:tc>
        <w:tc>
          <w:tcPr>
            <w:tcW w:type="dxa" w:w="1080"/>
          </w:tcPr>
          <w:p>
            <w:r>
              <w:t>Qual.</w:t>
            </w:r>
          </w:p>
        </w:tc>
        <w:tc>
          <w:tcPr>
            <w:tcW w:type="dxa" w:w="1080"/>
          </w:tcPr>
          <w:p>
            <w:r>
              <w:t>Liefertreue</w:t>
            </w:r>
          </w:p>
        </w:tc>
        <w:tc>
          <w:tcPr>
            <w:tcW w:type="dxa" w:w="1080"/>
          </w:tcPr>
          <w:p>
            <w:r>
              <w:t>Preis</w:t>
            </w:r>
          </w:p>
        </w:tc>
        <w:tc>
          <w:tcPr>
            <w:tcW w:type="dxa" w:w="1080"/>
          </w:tcPr>
          <w:p>
            <w:r>
              <w:t>Service</w:t>
            </w:r>
          </w:p>
        </w:tc>
        <w:tc>
          <w:tcPr>
            <w:tcW w:type="dxa" w:w="1080"/>
          </w:tcPr>
          <w:p>
            <w:r>
              <w:t>Gesamt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</w:tr>
      <w:tr>
        <w:tc>
          <w:tcPr>
            <w:tcW w:type="dxa" w:w="1080"/>
          </w:tcPr>
          <w:p>
            <w:r>
              <w:t>Schunk GmbH &amp; Co. KG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97 %</w:t>
            </w:r>
          </w:p>
        </w:tc>
        <w:tc>
          <w:tcPr>
            <w:tcW w:type="dxa" w:w="1080"/>
          </w:tcPr>
          <w:p>
            <w:r>
              <w:t>94 %</w:t>
            </w:r>
          </w:p>
        </w:tc>
        <w:tc>
          <w:tcPr>
            <w:tcW w:type="dxa" w:w="1080"/>
          </w:tcPr>
          <w:p>
            <w:r>
              <w:t>85 %</w:t>
            </w:r>
          </w:p>
        </w:tc>
        <w:tc>
          <w:tcPr>
            <w:tcW w:type="dxa" w:w="1080"/>
          </w:tcPr>
          <w:p>
            <w:r>
              <w:t>92 %</w:t>
            </w:r>
          </w:p>
        </w:tc>
        <w:tc>
          <w:tcPr>
            <w:tcW w:type="dxa" w:w="1080"/>
          </w:tcPr>
          <w:p>
            <w:r>
              <w:t>92 %</w:t>
            </w:r>
          </w:p>
        </w:tc>
        <w:tc>
          <w:tcPr>
            <w:tcW w:type="dxa" w:w="1080"/>
          </w:tcPr>
          <w:p>
            <w:r>
              <w:t>A</w:t>
            </w:r>
          </w:p>
        </w:tc>
      </w:tr>
      <w:tr>
        <w:tc>
          <w:tcPr>
            <w:tcW w:type="dxa" w:w="1080"/>
          </w:tcPr>
          <w:p>
            <w:r>
              <w:t>Siemens AG Antriebstechnik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94 %</w:t>
            </w:r>
          </w:p>
        </w:tc>
        <w:tc>
          <w:tcPr>
            <w:tcW w:type="dxa" w:w="1080"/>
          </w:tcPr>
          <w:p>
            <w:r>
              <w:t>91 %</w:t>
            </w:r>
          </w:p>
        </w:tc>
        <w:tc>
          <w:tcPr>
            <w:tcW w:type="dxa" w:w="1080"/>
          </w:tcPr>
          <w:p>
            <w:r>
              <w:t>82 %</w:t>
            </w:r>
          </w:p>
        </w:tc>
        <w:tc>
          <w:tcPr>
            <w:tcW w:type="dxa" w:w="1080"/>
          </w:tcPr>
          <w:p>
            <w:r>
              <w:t>89 %</w:t>
            </w:r>
          </w:p>
        </w:tc>
        <w:tc>
          <w:tcPr>
            <w:tcW w:type="dxa" w:w="1080"/>
          </w:tcPr>
          <w:p>
            <w:r>
              <w:t>90 %</w:t>
            </w:r>
          </w:p>
        </w:tc>
        <w:tc>
          <w:tcPr>
            <w:tcW w:type="dxa" w:w="1080"/>
          </w:tcPr>
          <w:p>
            <w:r>
              <w:t>A</w:t>
            </w:r>
          </w:p>
        </w:tc>
      </w:tr>
      <w:tr>
        <w:tc>
          <w:tcPr>
            <w:tcW w:type="dxa" w:w="1080"/>
          </w:tcPr>
          <w:p>
            <w:r>
              <w:t>Trumpf SE + Co. KG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93 %</w:t>
            </w:r>
          </w:p>
        </w:tc>
        <w:tc>
          <w:tcPr>
            <w:tcW w:type="dxa" w:w="1080"/>
          </w:tcPr>
          <w:p>
            <w:r>
              <w:t>88 %</w:t>
            </w:r>
          </w:p>
        </w:tc>
        <w:tc>
          <w:tcPr>
            <w:tcW w:type="dxa" w:w="1080"/>
          </w:tcPr>
          <w:p>
            <w:r>
              <w:t>78 %</w:t>
            </w:r>
          </w:p>
        </w:tc>
        <w:tc>
          <w:tcPr>
            <w:tcW w:type="dxa" w:w="1080"/>
          </w:tcPr>
          <w:p>
            <w:r>
              <w:t>90 %</w:t>
            </w:r>
          </w:p>
        </w:tc>
        <w:tc>
          <w:tcPr>
            <w:tcW w:type="dxa" w:w="1080"/>
          </w:tcPr>
          <w:p>
            <w:r>
              <w:t>88 %</w:t>
            </w:r>
          </w:p>
        </w:tc>
        <w:tc>
          <w:tcPr>
            <w:tcW w:type="dxa" w:w="1080"/>
          </w:tcPr>
          <w:p>
            <w:r>
              <w:t>A</w:t>
            </w:r>
          </w:p>
        </w:tc>
      </w:tr>
      <w:tr>
        <w:tc>
          <w:tcPr>
            <w:tcW w:type="dxa" w:w="1080"/>
          </w:tcPr>
          <w:p>
            <w:r>
              <w:t>Festo SE &amp; Co. KG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92 %</w:t>
            </w:r>
          </w:p>
        </w:tc>
        <w:tc>
          <w:tcPr>
            <w:tcW w:type="dxa" w:w="1080"/>
          </w:tcPr>
          <w:p>
            <w:r>
              <w:t>90 %</w:t>
            </w:r>
          </w:p>
        </w:tc>
        <w:tc>
          <w:tcPr>
            <w:tcW w:type="dxa" w:w="1080"/>
          </w:tcPr>
          <w:p>
            <w:r>
              <w:t>84 %</w:t>
            </w:r>
          </w:p>
        </w:tc>
        <w:tc>
          <w:tcPr>
            <w:tcW w:type="dxa" w:w="1080"/>
          </w:tcPr>
          <w:p>
            <w:r>
              <w:t>88 %</w:t>
            </w:r>
          </w:p>
        </w:tc>
        <w:tc>
          <w:tcPr>
            <w:tcW w:type="dxa" w:w="1080"/>
          </w:tcPr>
          <w:p>
            <w:r>
              <w:t>89 %</w:t>
            </w:r>
          </w:p>
        </w:tc>
        <w:tc>
          <w:tcPr>
            <w:tcW w:type="dxa" w:w="1080"/>
          </w:tcPr>
          <w:p>
            <w:r>
              <w:t>A</w:t>
            </w:r>
          </w:p>
        </w:tc>
      </w:tr>
      <w:tr>
        <w:tc>
          <w:tcPr>
            <w:tcW w:type="dxa" w:w="1080"/>
          </w:tcPr>
          <w:p>
            <w:r>
              <w:t>Igus GmbH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90 %</w:t>
            </w:r>
          </w:p>
        </w:tc>
        <w:tc>
          <w:tcPr>
            <w:tcW w:type="dxa" w:w="1080"/>
          </w:tcPr>
          <w:p>
            <w:r>
              <w:t>92 %</w:t>
            </w:r>
          </w:p>
        </w:tc>
        <w:tc>
          <w:tcPr>
            <w:tcW w:type="dxa" w:w="1080"/>
          </w:tcPr>
          <w:p>
            <w:r>
              <w:t>88 %</w:t>
            </w:r>
          </w:p>
        </w:tc>
        <w:tc>
          <w:tcPr>
            <w:tcW w:type="dxa" w:w="1080"/>
          </w:tcPr>
          <w:p>
            <w:r>
              <w:t>85 %</w:t>
            </w:r>
          </w:p>
        </w:tc>
        <w:tc>
          <w:tcPr>
            <w:tcW w:type="dxa" w:w="1080"/>
          </w:tcPr>
          <w:p>
            <w:r>
              <w:t>90 %</w:t>
            </w:r>
          </w:p>
        </w:tc>
        <w:tc>
          <w:tcPr>
            <w:tcW w:type="dxa" w:w="1080"/>
          </w:tcPr>
          <w:p>
            <w:r>
              <w:t>A</w:t>
            </w:r>
          </w:p>
        </w:tc>
      </w:tr>
      <w:tr>
        <w:tc>
          <w:tcPr>
            <w:tcW w:type="dxa" w:w="1080"/>
          </w:tcPr>
          <w:p>
            <w:r>
              <w:t>DB Schenker Deutschland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86 %</w:t>
            </w:r>
          </w:p>
        </w:tc>
        <w:tc>
          <w:tcPr>
            <w:tcW w:type="dxa" w:w="1080"/>
          </w:tcPr>
          <w:p>
            <w:r>
              <w:t>84 %</w:t>
            </w:r>
          </w:p>
        </w:tc>
        <w:tc>
          <w:tcPr>
            <w:tcW w:type="dxa" w:w="1080"/>
          </w:tcPr>
          <w:p>
            <w:r>
              <w:t>82 %</w:t>
            </w:r>
          </w:p>
        </w:tc>
        <w:tc>
          <w:tcPr>
            <w:tcW w:type="dxa" w:w="1080"/>
          </w:tcPr>
          <w:p>
            <w:r>
              <w:t>86 %</w:t>
            </w:r>
          </w:p>
        </w:tc>
        <w:tc>
          <w:tcPr>
            <w:tcW w:type="dxa" w:w="1080"/>
          </w:tcPr>
          <w:p>
            <w:r>
              <w:t>85 %</w:t>
            </w:r>
          </w:p>
        </w:tc>
        <w:tc>
          <w:tcPr>
            <w:tcW w:type="dxa" w:w="1080"/>
          </w:tcPr>
          <w:p>
            <w:r>
              <w:t>B</w:t>
            </w:r>
          </w:p>
        </w:tc>
      </w:tr>
      <w:tr>
        <w:tc>
          <w:tcPr>
            <w:tcW w:type="dxa" w:w="1080"/>
          </w:tcPr>
          <w:p>
            <w:r>
              <w:t>SAP SE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88 %</w:t>
            </w:r>
          </w:p>
        </w:tc>
        <w:tc>
          <w:tcPr>
            <w:tcW w:type="dxa" w:w="1080"/>
          </w:tcPr>
          <w:p>
            <w:r>
              <w:t>92 %</w:t>
            </w:r>
          </w:p>
        </w:tc>
        <w:tc>
          <w:tcPr>
            <w:tcW w:type="dxa" w:w="1080"/>
          </w:tcPr>
          <w:p>
            <w:r>
              <w:t>70 %</w:t>
            </w:r>
          </w:p>
        </w:tc>
        <w:tc>
          <w:tcPr>
            <w:tcW w:type="dxa" w:w="1080"/>
          </w:tcPr>
          <w:p>
            <w:r>
              <w:t>84 %</w:t>
            </w:r>
          </w:p>
        </w:tc>
        <w:tc>
          <w:tcPr>
            <w:tcW w:type="dxa" w:w="1080"/>
          </w:tcPr>
          <w:p>
            <w:r>
              <w:t>84 %</w:t>
            </w:r>
          </w:p>
        </w:tc>
        <w:tc>
          <w:tcPr>
            <w:tcW w:type="dxa" w:w="1080"/>
          </w:tcPr>
          <w:p>
            <w:r>
              <w:t>B</w:t>
            </w:r>
          </w:p>
        </w:tc>
      </w:tr>
    </w:tbl>
    <w:p>
      <w:pPr>
        <w:pStyle w:val="Heading3"/>
      </w:pPr>
      <w:r>
        <w:t>Massnahmen</w:t>
      </w:r>
    </w:p>
    <w:p>
      <w:pPr>
        <w:pStyle w:val="ListBullet"/>
      </w:pPr>
      <w:r>
        <w:t>A-Lieferanten erhalten Status-Bestaetigung und Einladung zum Lieferantentag 2024 (12. April 2024 Koeln).</w:t>
      </w:r>
    </w:p>
    <w:p>
      <w:pPr>
        <w:pStyle w:val="ListBullet"/>
      </w:pPr>
      <w:r>
        <w:t>B-Lieferanten mit Gesamtbewertung &lt; 85 % werden im Q1/2024 zu Quartalsgespraechen eingeladen.</w:t>
      </w:r>
    </w:p>
    <w:p>
      <w:pPr>
        <w:pStyle w:val="ListBullet"/>
      </w:pPr>
      <w:r>
        <w:t>Es wurden keine C-Lieferanten identifiziert, die ein Auslistungsverfahren erforderlich machen.</w:t>
      </w:r>
    </w:p>
    <w:p>
      <w:pPr>
        <w:pStyle w:val="ListBullet"/>
      </w:pPr>
      <w:r>
        <w:t>Die Kategorie Service wird ab 2024 staerker an Reaktionszeit-KPIs (Hotline, Ersatzteilversand) gekoppelt.</w:t>
      </w:r>
    </w:p>
    <w:p>
      <w:pPr>
        <w:pStyle w:val="Heading3"/>
      </w:pPr>
      <w:r>
        <w:t>Freigabe und Verteiler</w:t>
      </w:r>
    </w:p>
    <w:p>
      <w:r>
        <w:t>Freigabe durch Stefan Braun (Einkaufsleiter) und Sandra Becker (CFO) am 22. Januar 2024. Verteiler: Geschaeftsfuehrung, Bereichsleiter Einkauf, Bereichsleiter Qualitaet, Bereichsleiter Produktion.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