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Allgemeiner Einkaufsrahmenvertrag 2023 – Sammelvereinbarung Nicht-A-Lieferanten</w:t>
      </w:r>
    </w:p>
    <w:p/>
    <w:p>
      <w:pPr>
        <w:pStyle w:val="Heading3"/>
      </w:pPr>
      <w:r>
        <w:t>Praeambel</w:t>
      </w:r>
    </w:p>
    <w:p>
      <w:r>
        <w:t>Dieser Sammel-Rahmenvertrag bietet einheitliche Geschaeftsbedingungen fuer Nicht-A-Lieferanten der Halbreiter Maschinenbau GmbH ohne individuellen Rahmenvertrag. Er fasst die Mindeststandards der Allgemeinen Einkaufsbedingungen (EKBs Stand 1.1.2024) sowie der internen Lieferantenrichtlinie (VA-EK-001 Rev. 6) zu einem unterschriftsfaehigen Dokument zusammen.</w:t>
      </w:r>
    </w:p>
    <w:p>
      <w:pPr>
        <w:pStyle w:val="Heading3"/>
      </w:pPr>
      <w:r>
        <w:t>Eckwerte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Gegenstand ist die regelmaessige Belieferung der MMB mit Standardteilen, Verbrauchsmaterialien, Werkzeugen und Dienstleistungen unterhalb der individuell vertraglich geregelten Schwelle.</w:t>
      </w:r>
    </w:p>
    <w:p>
      <w:r>
        <w:rPr>
          <w:b/>
        </w:rPr>
        <w:t xml:space="preserve">(2) </w:t>
      </w:r>
      <w:r>
        <w:t>Konkrete Liefermengen werden ueber Einzelbestellungen abgerufen.</w:t>
      </w:r>
    </w:p>
    <w:p>
      <w:pPr>
        <w:pStyle w:val="Heading4"/>
      </w:pPr>
      <w:r>
        <w:t>§ 2 Preise und Zahlung</w:t>
      </w:r>
    </w:p>
    <w:p>
      <w:r>
        <w:rPr>
          <w:b/>
        </w:rPr>
        <w:t xml:space="preserve">(1) </w:t>
      </w:r>
      <w:r>
        <w:t>Es gelten die zwischen den Parteien jaehrlich bestaetigten Preislisten. Preisanpassungen sind nur mit 60 Tagen Vorlaufzeit zulaessig.</w:t>
      </w:r>
    </w:p>
    <w:p>
      <w:r>
        <w:rPr>
          <w:b/>
        </w:rPr>
        <w:t xml:space="preserve">(2) </w:t>
      </w:r>
      <w:r>
        <w:t>Zahlungsziel 30 Tage netto, 2 % Skonto binnen 14 Tagen.</w:t>
      </w:r>
    </w:p>
    <w:p>
      <w:pPr>
        <w:pStyle w:val="Heading4"/>
      </w:pPr>
      <w:r>
        <w:t>§ 3 Lieferung</w:t>
      </w:r>
    </w:p>
    <w:p>
      <w:r>
        <w:rPr>
          <w:b/>
        </w:rPr>
        <w:t xml:space="preserve">(1) </w:t>
      </w:r>
      <w:r>
        <w:t>Lieferung DAP Werk Koeln (INCOTERMS 2020). Der Lieferant tragt Verpackungs- und Transportkosten, sofern nicht abweichend in der Bestellung vereinbart.</w:t>
      </w:r>
    </w:p>
    <w:p>
      <w:r>
        <w:rPr>
          <w:b/>
        </w:rPr>
        <w:t xml:space="preserve">(2) </w:t>
      </w:r>
      <w:r>
        <w:t>Ein verlaengerter Eigentumsvorbehalt zugunsten des Lieferanten wird ausdruecklich ausgeschlossen, soweit gesetzlich zulaessig.</w:t>
      </w:r>
    </w:p>
    <w:p>
      <w:pPr>
        <w:pStyle w:val="Heading4"/>
      </w:pPr>
      <w:r>
        <w:t>§ 4 Qualitaet</w:t>
      </w:r>
    </w:p>
    <w:p>
      <w:r>
        <w:rPr>
          <w:b/>
        </w:rPr>
        <w:t xml:space="preserve">(1) </w:t>
      </w:r>
      <w:r>
        <w:t>Lieferungen muessen DIN-/ISO-/CE-konform sein. Materialzertifikate (3.1 EN 10204) auf Anforderung. Erstmuster bei sicherheitsrelevanten Komponenten verpflichtend.</w:t>
      </w:r>
    </w:p>
    <w:p>
      <w:pPr>
        <w:pStyle w:val="Heading4"/>
      </w:pPr>
      <w:r>
        <w:t>§ 5 Gewaehrleistung und Haftung</w:t>
      </w:r>
    </w:p>
    <w:p>
      <w:r>
        <w:rPr>
          <w:b/>
        </w:rPr>
        <w:t xml:space="preserve">(1) </w:t>
      </w:r>
      <w:r>
        <w:t>Gewaehrleistung 24 Monate ab Lieferung. Bei Mangelhaftigkeit hat MMB das Recht auf Nachlieferung, Ersatzlieferung oder Minderung; weitergehende Ansprueche bleiben unberuehrt.</w:t>
      </w:r>
    </w:p>
    <w:p>
      <w:r>
        <w:rPr>
          <w:b/>
        </w:rPr>
        <w:t xml:space="preserve">(2) </w:t>
      </w:r>
      <w:r>
        <w:t>Produkthaftpflichtversicherung des Lieferanten mit Mindestdeckung 2 Mio. EUR ist nachzuweisen.</w:t>
      </w:r>
    </w:p>
    <w:p>
      <w:pPr>
        <w:pStyle w:val="Heading4"/>
      </w:pPr>
      <w:r>
        <w:t>§ 6 Compliance</w:t>
      </w:r>
    </w:p>
    <w:p>
      <w:r>
        <w:rPr>
          <w:b/>
        </w:rPr>
        <w:t xml:space="preserve">(1) </w:t>
      </w:r>
      <w:r>
        <w:t>Anerkennung des MMB-Lieferanten-Verhaltenskodex (Stand 2024) und der LkSG-Sorgfaltspflichten.</w:t>
      </w:r>
    </w:p>
    <w:p>
      <w:pPr>
        <w:pStyle w:val="Heading4"/>
      </w:pPr>
      <w:r>
        <w:t>§ 7 Laufzeit</w:t>
      </w:r>
    </w:p>
    <w:p>
      <w:r>
        <w:rPr>
          <w:b/>
        </w:rPr>
        <w:t xml:space="preserve">(1) </w:t>
      </w:r>
      <w:r>
        <w:t>Laufzeit ein Jahr, Verlaengerung automatisch um jeweils 12 Monate ohne Kuendigung mit 3 Monaten Frist.</w:t>
      </w:r>
    </w:p>
    <w:p>
      <w:pPr>
        <w:pStyle w:val="Heading3"/>
      </w:pPr>
      <w:r>
        <w:t>Anlagen</w:t>
      </w:r>
    </w:p>
    <w:p>
      <w:r>
        <w:t>EKBs Stand 1.1.2024; Code of Conduct fuer Lieferanten (Rev. 3); Preisliste 2024.</w:t>
      </w:r>
    </w:p>
    <w:p>
      <w:pPr>
        <w:pStyle w:val="Heading3"/>
      </w:pPr>
      <w:r>
        <w:t>Unterschrift</w:t>
      </w:r>
    </w:p>
    <w:p>
      <w:r>
        <w:t>Diese Sammelvereinbarung wird mit dem jeweiligen Lieferanten gegengezeichnet. Eine zentrale Kopie wird im SAP SRM unter der Vertragsnummer 2024-EK-SAMMEL hinterlegt.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