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Rahmenvertrag Logistik 2023-2026 – DB Schenker Deutschland AG</w:t>
      </w:r>
    </w:p>
    <w:p/>
    <w:p>
      <w:pPr>
        <w:pStyle w:val="Heading3"/>
      </w:pPr>
      <w:r>
        <w:t>Parteien</w:t>
      </w:r>
    </w:p>
    <w:p>
      <w:r>
        <w:t>Halbreiter Maschinenbau GmbH ('Auftraggeber') und DB Schenker Deutschland AG, Edmund-Rumpler-Strasse 3, 60549 Frankfurt am Main ('Spediteur') schliessen den nachfolgenden Rahmenvertrag ueber Speditions- und Logistikleistungen ab. Vertragslaufzeit 1.1.2023 - 31.12.2026.</w:t>
      </w:r>
    </w:p>
    <w:p>
      <w:pPr>
        <w:pStyle w:val="Heading3"/>
      </w:pPr>
      <w:r>
        <w:t>Leistungsumfang</w:t>
      </w:r>
    </w:p>
    <w:p>
      <w:pPr>
        <w:pStyle w:val="ListBullet"/>
      </w:pPr>
      <w:r>
        <w:t>Strassentransporte FTL/LTL inkl. EU-weiter Sammelverkehre.</w:t>
      </w:r>
    </w:p>
    <w:p>
      <w:pPr>
        <w:pStyle w:val="ListBullet"/>
      </w:pPr>
      <w:r>
        <w:t>Luft- und Seefracht (Export Asien, USA) inkl. Zollabwicklung als indirekter Vertreter (AEO-F).</w:t>
      </w:r>
    </w:p>
    <w:p>
      <w:pPr>
        <w:pStyle w:val="ListBullet"/>
      </w:pPr>
      <w:r>
        <w:t>Verpackung und Containerstauung auf Anforderung; Schwergutverladungen ueber Partnerunternehmen.</w:t>
      </w:r>
    </w:p>
    <w:p>
      <w:pPr>
        <w:pStyle w:val="ListBullet"/>
      </w:pPr>
      <w:r>
        <w:t>Bereitstellung Sendungsverfolgung (Track &amp; Trace) ueber Connect 4 Land/Sea/Air.</w:t>
      </w:r>
    </w:p>
    <w:p>
      <w:pPr>
        <w:pStyle w:val="Heading3"/>
      </w:pPr>
      <w:r>
        <w:t>Preise und Konditionen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Leistung</w:t>
            </w:r>
          </w:p>
        </w:tc>
        <w:tc>
          <w:tcPr>
            <w:tcW w:type="dxa" w:w="2160"/>
          </w:tcPr>
          <w:p>
            <w:r>
              <w:t>Preisbasis</w:t>
            </w:r>
          </w:p>
        </w:tc>
        <w:tc>
          <w:tcPr>
            <w:tcW w:type="dxa" w:w="2160"/>
          </w:tcPr>
          <w:p>
            <w:r>
              <w:t>Zahlungsziel</w:t>
            </w:r>
          </w:p>
        </w:tc>
        <w:tc>
          <w:tcPr>
            <w:tcW w:type="dxa" w:w="2160"/>
          </w:tcPr>
          <w:p>
            <w:r>
              <w:t>Indexierung</w:t>
            </w:r>
          </w:p>
        </w:tc>
      </w:tr>
      <w:tr>
        <w:tc>
          <w:tcPr>
            <w:tcW w:type="dxa" w:w="2160"/>
          </w:tcPr>
          <w:p>
            <w:r>
              <w:t>Strassentransport DE/EU</w:t>
            </w:r>
          </w:p>
        </w:tc>
        <w:tc>
          <w:tcPr>
            <w:tcW w:type="dxa" w:w="2160"/>
          </w:tcPr>
          <w:p>
            <w:r>
              <w:t>Preisliste Anlage 1</w:t>
            </w:r>
          </w:p>
        </w:tc>
        <w:tc>
          <w:tcPr>
            <w:tcW w:type="dxa" w:w="2160"/>
          </w:tcPr>
          <w:p>
            <w:r>
              <w:t>30 Tage netto</w:t>
            </w:r>
          </w:p>
        </w:tc>
        <w:tc>
          <w:tcPr>
            <w:tcW w:type="dxa" w:w="2160"/>
          </w:tcPr>
          <w:p>
            <w:r>
              <w:t>DIESELfloater monatlich</w:t>
            </w:r>
          </w:p>
        </w:tc>
      </w:tr>
      <w:tr>
        <w:tc>
          <w:tcPr>
            <w:tcW w:type="dxa" w:w="2160"/>
          </w:tcPr>
          <w:p>
            <w:r>
              <w:t>Luftfracht</w:t>
            </w:r>
          </w:p>
        </w:tc>
        <w:tc>
          <w:tcPr>
            <w:tcW w:type="dxa" w:w="2160"/>
          </w:tcPr>
          <w:p>
            <w:r>
              <w:t>Preisliste Anlage 2</w:t>
            </w:r>
          </w:p>
        </w:tc>
        <w:tc>
          <w:tcPr>
            <w:tcW w:type="dxa" w:w="2160"/>
          </w:tcPr>
          <w:p>
            <w:r>
              <w:t>30 Tage netto</w:t>
            </w:r>
          </w:p>
        </w:tc>
        <w:tc>
          <w:tcPr>
            <w:tcW w:type="dxa" w:w="2160"/>
          </w:tcPr>
          <w:p>
            <w:r>
              <w:t>FSC/SSC IATA-Standards</w:t>
            </w:r>
          </w:p>
        </w:tc>
      </w:tr>
      <w:tr>
        <w:tc>
          <w:tcPr>
            <w:tcW w:type="dxa" w:w="2160"/>
          </w:tcPr>
          <w:p>
            <w:r>
              <w:t>Seefracht</w:t>
            </w:r>
          </w:p>
        </w:tc>
        <w:tc>
          <w:tcPr>
            <w:tcW w:type="dxa" w:w="2160"/>
          </w:tcPr>
          <w:p>
            <w:r>
              <w:t>Preisliste Anlage 3</w:t>
            </w:r>
          </w:p>
        </w:tc>
        <w:tc>
          <w:tcPr>
            <w:tcW w:type="dxa" w:w="2160"/>
          </w:tcPr>
          <w:p>
            <w:r>
              <w:t>30 Tage netto</w:t>
            </w:r>
          </w:p>
        </w:tc>
        <w:tc>
          <w:tcPr>
            <w:tcW w:type="dxa" w:w="2160"/>
          </w:tcPr>
          <w:p>
            <w:r>
              <w:t>BAF / CAF quartalsweise</w:t>
            </w:r>
          </w:p>
        </w:tc>
      </w:tr>
      <w:tr>
        <w:tc>
          <w:tcPr>
            <w:tcW w:type="dxa" w:w="2160"/>
          </w:tcPr>
          <w:p>
            <w:r>
              <w:t>Lagerung Aussenlager</w:t>
            </w:r>
          </w:p>
        </w:tc>
        <w:tc>
          <w:tcPr>
            <w:tcW w:type="dxa" w:w="2160"/>
          </w:tcPr>
          <w:p>
            <w:r>
              <w:t>Pauschal je Palettenmonat</w:t>
            </w:r>
          </w:p>
        </w:tc>
        <w:tc>
          <w:tcPr>
            <w:tcW w:type="dxa" w:w="2160"/>
          </w:tcPr>
          <w:p>
            <w:r>
              <w:t>30 Tage netto</w:t>
            </w:r>
          </w:p>
        </w:tc>
        <w:tc>
          <w:tcPr>
            <w:tcW w:type="dxa" w:w="2160"/>
          </w:tcPr>
          <w:p>
            <w:r>
              <w:t>Jahresanpassung VPI</w:t>
            </w:r>
          </w:p>
        </w:tc>
      </w:tr>
    </w:tbl>
    <w:p>
      <w:pPr>
        <w:pStyle w:val="Heading3"/>
      </w:pPr>
      <w:r>
        <w:t>Haftung und Versicherung</w:t>
      </w:r>
    </w:p>
    <w:p>
      <w:r>
        <w:t>Es gelten die ADSp 2017 in der jeweils gueltigen Fassung sowie subsidiaer die §§ 425 ff. HGB. Spediteurhaftung beschraenkt auf 8,33 SZR/kg (CMR). Eine Transportversicherung kann individuell beauftragt werden (FOR-Bedingungen). Der Spediteur weist eine Verkehrshaftungsversicherung mit Deckung 5 Mio. EUR je Schadensfall nach.</w:t>
      </w:r>
    </w:p>
    <w:p>
      <w:pPr>
        <w:pStyle w:val="Heading3"/>
      </w:pPr>
      <w:r>
        <w:t>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Zielwert</w:t>
            </w:r>
          </w:p>
        </w:tc>
      </w:tr>
      <w:tr>
        <w:tc>
          <w:tcPr>
            <w:tcW w:type="dxa" w:w="4320"/>
          </w:tcPr>
          <w:p>
            <w:r>
              <w:t>Termintreue (OTIF)</w:t>
            </w:r>
          </w:p>
        </w:tc>
        <w:tc>
          <w:tcPr>
            <w:tcW w:type="dxa" w:w="4320"/>
          </w:tcPr>
          <w:p>
            <w:r>
              <w:t>97 %</w:t>
            </w:r>
          </w:p>
        </w:tc>
      </w:tr>
      <w:tr>
        <w:tc>
          <w:tcPr>
            <w:tcW w:type="dxa" w:w="4320"/>
          </w:tcPr>
          <w:p>
            <w:r>
              <w:t>Reklamationsquote Sendungen</w:t>
            </w:r>
          </w:p>
        </w:tc>
        <w:tc>
          <w:tcPr>
            <w:tcW w:type="dxa" w:w="4320"/>
          </w:tcPr>
          <w:p>
            <w:r>
              <w:t>&lt; 1,5 %</w:t>
            </w:r>
          </w:p>
        </w:tc>
      </w:tr>
      <w:tr>
        <w:tc>
          <w:tcPr>
            <w:tcW w:type="dxa" w:w="4320"/>
          </w:tcPr>
          <w:p>
            <w:r>
              <w:t>Reaktion auf Schaeden</w:t>
            </w:r>
          </w:p>
        </w:tc>
        <w:tc>
          <w:tcPr>
            <w:tcW w:type="dxa" w:w="4320"/>
          </w:tcPr>
          <w:p>
            <w:r>
              <w:t>&lt; 24 h</w:t>
            </w:r>
          </w:p>
        </w:tc>
      </w:tr>
      <w:tr>
        <w:tc>
          <w:tcPr>
            <w:tcW w:type="dxa" w:w="4320"/>
          </w:tcPr>
          <w:p>
            <w:r>
              <w:t>CO2-Reporting</w:t>
            </w:r>
          </w:p>
        </w:tc>
        <w:tc>
          <w:tcPr>
            <w:tcW w:type="dxa" w:w="4320"/>
          </w:tcPr>
          <w:p>
            <w:r>
              <w:t>quartalsweise (GLEC-Framework)</w:t>
            </w:r>
          </w:p>
        </w:tc>
      </w:tr>
    </w:tbl>
    <w:p>
      <w:pPr>
        <w:pStyle w:val="Heading3"/>
      </w:pPr>
      <w:r>
        <w:t>Unterschrift</w:t>
      </w:r>
    </w:p>
    <w:p>
      <w:r>
        <w:t>Ort, Datum: Koeln/Frankfurt, den 14. Dezember 2022</w:t>
      </w:r>
    </w:p>
    <w:p>
      <w:r>
        <w:t>_________________________            _________________________</w:t>
        <w:br/>
        <w:t>Klaus Müller                          Dr. Thorsten Meincke</w:t>
        <w:br/>
        <w:t>Geschaeftsfuehrer                          Mitglied des Vorstands</w:t>
        <w:br/>
        <w:t>Halbreiter Maschinenbau GmbH                       DB Schenker Deutschland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