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Mietvertrag Produktionshalle + Verwaltung – Industriestrasse 12, 50829 Koeln</w:t>
      </w:r>
    </w:p>
    <w:p>
      <w:pPr>
        <w:jc w:val="center"/>
      </w:pPr>
      <w:r>
        <w:t>Verlaengerung 2023 fuer 10 Jahre (Optionsausuebung)</w:t>
      </w:r>
    </w:p>
    <w:p/>
    <w:p>
      <w:pPr>
        <w:pStyle w:val="Heading3"/>
      </w:pPr>
      <w:r>
        <w:t>Hinweis</w:t>
      </w:r>
    </w:p>
    <w:p>
      <w:r>
        <w:t>Anmerkung: Die Halbreiter Maschinenbau GmbH ist Eigentuemerin des Grundstuecks Industriestrasse 12. Dieser »Mietvertrag« stellt eine interne Sale-and-Lease-Back-aehnliche Gestaltung mit der eigens gegruendeten »Mueller Immobilien GbR« dar. Die GbR ist im Mehrheitsbesitz der Mueller Familien-GbR und der Gesellschafterin Frau Elke Mueller-Hartmann.</w:t>
      </w:r>
    </w:p>
    <w:p>
      <w:pPr>
        <w:pStyle w:val="Heading3"/>
      </w:pPr>
      <w:r>
        <w:t>Mietsache</w:t>
      </w:r>
    </w:p>
    <w:p>
      <w:r>
        <w:t>Industriestrasse 12, 50829 Koeln: Verwaltungsgebaeude (1.928 m²) + Produktionshallen A, B, C (insgesamt 9.620 m²) + Aussenanlagen / Parkflaechen. Gesamtmiete: 412.000 EUR p. a. (netto).</w:t>
      </w:r>
    </w:p>
    <w:p>
      <w:pPr>
        <w:pStyle w:val="Heading3"/>
      </w:pPr>
      <w:r>
        <w:t>Konditionen</w:t>
      </w:r>
    </w:p>
    <w:p>
      <w:r>
        <w:t>Laufzeit: 1. Januar 2024 bis 31. Dezember 2033 (10 Jahre, Verlaengerung des Vertrages aus 2014). Mietzins: monatlich 34.333 EUR netto; Indexklausel VPI (Sockel 2,5 % p. a.). Betriebskosten ueber die Mieterin direkt (Energie, Wasser, Wartung, Versicherung Inhalte).</w:t>
      </w:r>
    </w:p>
    <w:p>
      <w:pPr>
        <w:pStyle w:val="Heading3"/>
      </w:pPr>
      <w:r>
        <w:t>Steuerliche Wuerdigung</w:t>
      </w:r>
    </w:p>
    <w:p>
      <w:r>
        <w:t>Die Gestaltung ist nach Pruefung von Heuking Kuehn Lueer Wojtek und BDO AG WPG steuerlich anerkannt (Memo vom 18.9.2023); Marktueblichkeit der Miete bestaetigt durch Verkehrswertgutachten Dr. Sander 2023 (siehe IMM_Verkehrswertgutachten_Industriestr_).</w:t>
      </w:r>
    </w:p>
    <w:p>
      <w:pPr>
        <w:pStyle w:val="Heading3"/>
      </w:pPr>
      <w:r>
        <w:t>Vertragsklauseln (Auszug)</w:t>
      </w:r>
    </w:p>
    <w:p>
      <w:pPr>
        <w:pStyle w:val="Heading4"/>
      </w:pPr>
      <w:r>
        <w:t>§ 1 Nutzung</w:t>
      </w:r>
    </w:p>
    <w:p>
      <w:r>
        <w:rPr>
          <w:b/>
        </w:rPr>
        <w:t xml:space="preserve">(1) </w:t>
      </w:r>
      <w:r>
        <w:t>Industrielle Fertigung gemaess BImSchG-Genehmigung der Stadt Koeln vom 22.04.2003.</w:t>
      </w:r>
    </w:p>
    <w:p>
      <w:r>
        <w:rPr>
          <w:b/>
        </w:rPr>
        <w:t xml:space="preserve">(2) </w:t>
      </w:r>
      <w:r>
        <w:t>Unterermietung an Konzernunternehmen / verbundene Unternehmen zustimmungsfrei.</w:t>
      </w:r>
    </w:p>
    <w:p>
      <w:pPr>
        <w:pStyle w:val="Heading4"/>
      </w:pPr>
      <w:r>
        <w:t>§ 2 Bauliche Veraenderungen</w:t>
      </w:r>
    </w:p>
    <w:p>
      <w:r>
        <w:rPr>
          <w:b/>
        </w:rPr>
        <w:t xml:space="preserve">(1) </w:t>
      </w:r>
      <w:r>
        <w:t>Bauliche Veraenderungen bis 250.000 EUR Volumen zustimmungsfrei. Investitionen werden mit der Eigentuemerin abgerechnet (Einbauten = Eigentum der Mieterin).</w:t>
      </w:r>
    </w:p>
    <w:p>
      <w:pPr>
        <w:pStyle w:val="Heading4"/>
      </w:pPr>
      <w:r>
        <w:t>§ 3 Erhaltungspflicht</w:t>
      </w:r>
    </w:p>
    <w:p>
      <w:r>
        <w:rPr>
          <w:b/>
        </w:rPr>
        <w:t xml:space="preserve">(1) </w:t>
      </w:r>
      <w:r>
        <w:t>Ueblicher Mietgebrauch; Schoenheitsreparaturen i. R. der Geschaeftstaetigkeit (Mieterin); Dach + Fassade / strukturelle Substanz (Vermieterin).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