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Verkehrswertgutachten – Liegenschaft Industriestrasse 12, 50829 Koeln</w:t>
      </w:r>
    </w:p>
    <w:p>
      <w:pPr>
        <w:jc w:val="center"/>
      </w:pPr>
      <w:r>
        <w:t>Sachverstaendiger Dr.-Ing. Hartmut Sander, oeffentl. bestellt durch IHK Koeln; Stichtag 30. November 2023</w:t>
      </w:r>
    </w:p>
    <w:p/>
    <w:p>
      <w:pPr>
        <w:pStyle w:val="Heading3"/>
      </w:pPr>
      <w:r>
        <w:t>Auftrag</w:t>
      </w:r>
    </w:p>
    <w:p>
      <w:r>
        <w:t>Auftraggeber: Halbreiter Maschinenbau GmbH (Sandra Becker, CFO). Zweck: Bilanzielle Bewertung im Rahmen der Jahresabschluss-Pruefung 2023 sowie Sicherheitenbewertung fuer die Investitionslinie der Deutschen Bank AG. Gutachten gemaess ImmoWertV / WertR.</w:t>
      </w:r>
    </w:p>
    <w:p>
      <w:pPr>
        <w:pStyle w:val="Heading3"/>
      </w:pPr>
      <w:r>
        <w:t>Bewertungsobjekt</w:t>
      </w:r>
    </w:p>
    <w:p>
      <w:r>
        <w:t>Grundstueck 18.420 m², Flurstueck Nr. 1278/13, Gemarkung Koeln-Niehl, GE-Gebiet (Industrie- und Gewerbegebiet). Bebaut mit Verwaltungsgebaeude (Bauteil A, 1.928 m² BGF) und drei Produktionshallen A/B/C (gesamt 9.620 m² BGF). Erschliessung Industriestrasse 12 (KAG-konform abgerechnet).</w:t>
      </w:r>
    </w:p>
    <w:p>
      <w:pPr>
        <w:pStyle w:val="Heading3"/>
      </w:pPr>
      <w:r>
        <w:t>Wertermittlungsverfahren</w:t>
      </w:r>
    </w:p>
    <w:p>
      <w:r>
        <w:t>Sachwertverfahren (Bodenrichtwert 195 EUR/m² Koelner Industriegebiet 2023; Gebaeudesachwert linear nach NHK 2010 mit Indexierung). Ertragswertverfahren als Plausibilisierung; aufgrund Eigennutzung keine reine Ertragsbetrachtung.</w:t>
      </w:r>
    </w:p>
    <w:p>
      <w:pPr>
        <w:pStyle w:val="Heading3"/>
      </w:pPr>
      <w:r>
        <w:t>Ergebnis</w:t>
      </w:r>
    </w:p>
    <w:p>
      <w:r>
        <w:t>Bodenwert: 18.420 m² x 195 EUR = 3.591.900 EUR. Gebaeudesachwerte (nach Alterswertabschlag): Verwaltungsgebaeude 2.420.000 EUR; Halle A 3.180.000 EUR; Halle B 2.820.000 EUR; Halle C 1.480.000 EUR. Aussenanlagen 318.000 EUR.</w:t>
      </w:r>
    </w:p>
    <w:p>
      <w:r>
        <w:t>**Verkehrswert (gerundet): 13,8 Mio. EUR.** Bilanzansatz HGB derzeit 1,85 Mio. EUR (Grundstueck) + Gebaeude 4,86 Mio. EUR Buchwert = stille Reserve rund 7,1 Mio. EUR.</w:t>
      </w:r>
    </w:p>
    <w:p>
      <w:pPr>
        <w:pStyle w:val="Heading3"/>
      </w:pPr>
      <w:r>
        <w:t>Risiken / Hinweise</w:t>
      </w:r>
    </w:p>
    <w:p>
      <w:r>
        <w:t>Bodenrisiken Altlasten: vorgehender Eintrag im Altlastenkataster geprueft, keine Eintragung. Schadstoffe: Asbestpruefung Halle A Bj. 1985 in 2018 negativ. Naturgefahren: kein Ueberschwemmungsgebiet. Verkehrsanbindung: Anschluss A57 in 8 Minuten Fahrtzeit.</w:t>
      </w:r>
    </w:p>
    <w:p>
      <w:pPr>
        <w:pStyle w:val="Heading3"/>
      </w:pPr>
      <w:r>
        <w:t>Unterschrift</w:t>
      </w:r>
    </w:p>
    <w:p>
      <w:r>
        <w:t>Ort, Datum: Koeln, den 12. Dezember 2023</w:t>
      </w:r>
    </w:p>
    <w:p>
      <w:r>
        <w:t>_________________________            _________________________</w:t>
        <w:br/>
        <w:t>Dr.-Ing. Hartmut Sander                          Sandra Becker</w:t>
        <w:br/>
        <w:t>Oeffentlich bestellter Sachverstaendiger                          CFO</w:t>
        <w:br/>
        <w:t>i. e. S.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