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Versicherungskataster Immobilien 2024</w:t>
      </w:r>
    </w:p>
    <w:p/>
    <w:p>
      <w:pPr>
        <w:pStyle w:val="Heading3"/>
      </w:pPr>
      <w:r>
        <w:t>Zweck</w:t>
      </w:r>
    </w:p>
    <w:p>
      <w:r>
        <w:t>Dieses Versicherungskataster dokumentiert die Versicherungssituation aller wesentlichen Immobilien und Liegenschaften der Halbreiter Maschinenbau GmbH (eigene und gemietete Objekte). Es wird jaehrlich von Sandra Becker (CFO) in Abstimmung mit dem Versicherungsmakler Funk Gruppe GmbH (Hamburg) gepflegt.</w:t>
      </w:r>
    </w:p>
    <w:p>
      <w:pPr>
        <w:pStyle w:val="Heading3"/>
      </w:pPr>
      <w:r>
        <w:t>Uebersicht der versicherten Objekte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Objekt</w:t>
            </w:r>
          </w:p>
        </w:tc>
        <w:tc>
          <w:tcPr>
            <w:tcW w:type="dxa" w:w="1440"/>
          </w:tcPr>
          <w:p>
            <w:r>
              <w:t>Eigentum/Miete</w:t>
            </w:r>
          </w:p>
        </w:tc>
        <w:tc>
          <w:tcPr>
            <w:tcW w:type="dxa" w:w="1440"/>
          </w:tcPr>
          <w:p>
            <w:r>
              <w:t>Versicherer</w:t>
            </w:r>
          </w:p>
        </w:tc>
        <w:tc>
          <w:tcPr>
            <w:tcW w:type="dxa" w:w="1440"/>
          </w:tcPr>
          <w:p>
            <w:r>
              <w:t>Police-Nr.</w:t>
            </w:r>
          </w:p>
        </w:tc>
        <w:tc>
          <w:tcPr>
            <w:tcW w:type="dxa" w:w="1440"/>
          </w:tcPr>
          <w:p>
            <w:r>
              <w:t>Deckungssumme</w:t>
            </w:r>
          </w:p>
        </w:tc>
        <w:tc>
          <w:tcPr>
            <w:tcW w:type="dxa" w:w="1440"/>
          </w:tcPr>
          <w:p>
            <w:r>
              <w:t>Stand</w:t>
            </w:r>
          </w:p>
        </w:tc>
      </w:tr>
      <w:tr>
        <w:tc>
          <w:tcPr>
            <w:tcW w:type="dxa" w:w="1440"/>
          </w:tcPr>
          <w:p>
            <w:r>
              <w:t>Hauptwerk Industriestrasse 12, Koeln</w:t>
            </w:r>
          </w:p>
        </w:tc>
        <w:tc>
          <w:tcPr>
            <w:tcW w:type="dxa" w:w="1440"/>
          </w:tcPr>
          <w:p>
            <w:r>
              <w:t>Eigentum</w:t>
            </w:r>
          </w:p>
        </w:tc>
        <w:tc>
          <w:tcPr>
            <w:tcW w:type="dxa" w:w="1440"/>
          </w:tcPr>
          <w:p>
            <w:r>
              <w:t>Allianz Versicherungs-AG</w:t>
            </w:r>
          </w:p>
        </w:tc>
        <w:tc>
          <w:tcPr>
            <w:tcW w:type="dxa" w:w="1440"/>
          </w:tcPr>
          <w:p>
            <w:r>
              <w:t>GB-2023-22431</w:t>
            </w:r>
          </w:p>
        </w:tc>
        <w:tc>
          <w:tcPr>
            <w:tcW w:type="dxa" w:w="1440"/>
          </w:tcPr>
          <w:p>
            <w:r>
              <w:t>32,5 Mio. EUR (NW)</w:t>
            </w:r>
          </w:p>
        </w:tc>
        <w:tc>
          <w:tcPr>
            <w:tcW w:type="dxa" w:w="1440"/>
          </w:tcPr>
          <w:p>
            <w:r>
              <w:t>01.01.2024</w:t>
            </w:r>
          </w:p>
        </w:tc>
      </w:tr>
      <w:tr>
        <w:tc>
          <w:tcPr>
            <w:tcW w:type="dxa" w:w="1440"/>
          </w:tcPr>
          <w:p>
            <w:r>
              <w:t>Aussenlager Niehler Strasse 88, Koeln</w:t>
            </w:r>
          </w:p>
        </w:tc>
        <w:tc>
          <w:tcPr>
            <w:tcW w:type="dxa" w:w="1440"/>
          </w:tcPr>
          <w:p>
            <w:r>
              <w:t>Miete</w:t>
            </w:r>
          </w:p>
        </w:tc>
        <w:tc>
          <w:tcPr>
            <w:tcW w:type="dxa" w:w="1440"/>
          </w:tcPr>
          <w:p>
            <w:r>
              <w:t>Vermieter (PV Industrieliegen)</w:t>
            </w:r>
          </w:p>
        </w:tc>
        <w:tc>
          <w:tcPr>
            <w:tcW w:type="dxa" w:w="1440"/>
          </w:tcPr>
          <w:p>
            <w:r>
              <w:t>-</w:t>
            </w:r>
          </w:p>
        </w:tc>
        <w:tc>
          <w:tcPr>
            <w:tcW w:type="dxa" w:w="1440"/>
          </w:tcPr>
          <w:p>
            <w:r>
              <w:t>Gebaeude vermieter; Inhalt MMB 2,8 Mio. EUR</w:t>
            </w:r>
          </w:p>
        </w:tc>
        <w:tc>
          <w:tcPr>
            <w:tcW w:type="dxa" w:w="1440"/>
          </w:tcPr>
          <w:p>
            <w:r>
              <w:t>01.01.2024</w:t>
            </w:r>
          </w:p>
        </w:tc>
      </w:tr>
      <w:tr>
        <w:tc>
          <w:tcPr>
            <w:tcW w:type="dxa" w:w="1440"/>
          </w:tcPr>
          <w:p>
            <w:r>
              <w:t>Verwaltungsgebaeude (gleiche Adresse)</w:t>
            </w:r>
          </w:p>
        </w:tc>
        <w:tc>
          <w:tcPr>
            <w:tcW w:type="dxa" w:w="1440"/>
          </w:tcPr>
          <w:p>
            <w:r>
              <w:t>Eigentum</w:t>
            </w:r>
          </w:p>
        </w:tc>
        <w:tc>
          <w:tcPr>
            <w:tcW w:type="dxa" w:w="1440"/>
          </w:tcPr>
          <w:p>
            <w:r>
              <w:t>Allianz Versicherungs-AG</w:t>
            </w:r>
          </w:p>
        </w:tc>
        <w:tc>
          <w:tcPr>
            <w:tcW w:type="dxa" w:w="1440"/>
          </w:tcPr>
          <w:p>
            <w:r>
              <w:t>GB-2023-22431</w:t>
            </w:r>
          </w:p>
        </w:tc>
        <w:tc>
          <w:tcPr>
            <w:tcW w:type="dxa" w:w="1440"/>
          </w:tcPr>
          <w:p>
            <w:r>
              <w:t>Anteil 6,2 Mio. EUR (NW)</w:t>
            </w:r>
          </w:p>
        </w:tc>
        <w:tc>
          <w:tcPr>
            <w:tcW w:type="dxa" w:w="1440"/>
          </w:tcPr>
          <w:p>
            <w:r>
              <w:t>01.01.2024</w:t>
            </w:r>
          </w:p>
        </w:tc>
      </w:tr>
      <w:tr>
        <w:tc>
          <w:tcPr>
            <w:tcW w:type="dxa" w:w="1440"/>
          </w:tcPr>
          <w:p>
            <w:r>
              <w:t>Kundenparkplatz Stadt Koeln</w:t>
            </w:r>
          </w:p>
        </w:tc>
        <w:tc>
          <w:tcPr>
            <w:tcW w:type="dxa" w:w="1440"/>
          </w:tcPr>
          <w:p>
            <w:r>
              <w:t>Miete</w:t>
            </w:r>
          </w:p>
        </w:tc>
        <w:tc>
          <w:tcPr>
            <w:tcW w:type="dxa" w:w="1440"/>
          </w:tcPr>
          <w:p>
            <w:r>
              <w:t>—</w:t>
            </w:r>
          </w:p>
        </w:tc>
        <w:tc>
          <w:tcPr>
            <w:tcW w:type="dxa" w:w="1440"/>
          </w:tcPr>
          <w:p>
            <w:r>
              <w:t>—</w:t>
            </w:r>
          </w:p>
        </w:tc>
        <w:tc>
          <w:tcPr>
            <w:tcW w:type="dxa" w:w="1440"/>
          </w:tcPr>
          <w:p>
            <w:r>
              <w:t>Stadt Koeln traegt</w:t>
            </w:r>
          </w:p>
        </w:tc>
        <w:tc>
          <w:tcPr>
            <w:tcW w:type="dxa" w:w="1440"/>
          </w:tcPr>
          <w:p>
            <w:r>
              <w:t>01.01.2024</w:t>
            </w:r>
          </w:p>
        </w:tc>
      </w:tr>
    </w:tbl>
    <w:p>
      <w:pPr>
        <w:pStyle w:val="Heading3"/>
      </w:pPr>
      <w:r>
        <w:t>Deckungsbausteine</w:t>
      </w:r>
    </w:p>
    <w:p>
      <w:pPr>
        <w:pStyle w:val="ListBullet"/>
      </w:pPr>
      <w:r>
        <w:t>Gebaeudeversicherung: Feuer, Leitungswasser, Sturm/Hagel (gleitender Neuwert).</w:t>
      </w:r>
    </w:p>
    <w:p>
      <w:pPr>
        <w:pStyle w:val="ListBullet"/>
      </w:pPr>
      <w:r>
        <w:t>Inhaltsversicherung: Maschinen, Vorraete, Bueroausstattung (Allgefahrendeckung).</w:t>
      </w:r>
    </w:p>
    <w:p>
      <w:pPr>
        <w:pStyle w:val="ListBullet"/>
      </w:pPr>
      <w:r>
        <w:t>Betriebsunterbrechung (BU): Haftzeit 24 Monate, Selbstbehalt 50 TEUR/Schadenereignis.</w:t>
      </w:r>
    </w:p>
    <w:p>
      <w:pPr>
        <w:pStyle w:val="ListBullet"/>
      </w:pPr>
      <w:r>
        <w:t>Elementardeckung: Hochwasser, Erdbeben, Rueckstau (begrenzt 5 Mio. EUR).</w:t>
      </w:r>
    </w:p>
    <w:p>
      <w:pPr>
        <w:pStyle w:val="ListBullet"/>
      </w:pPr>
      <w:r>
        <w:t>Maschinenversicherung: ausgewaehlte Anlagen (Pressen, Laser), Listung in Anlage 2.</w:t>
      </w:r>
    </w:p>
    <w:p>
      <w:pPr>
        <w:pStyle w:val="Heading3"/>
      </w:pPr>
      <w:r>
        <w:t>Maklerbetreuung und Schadensbearbeitung</w:t>
      </w:r>
    </w:p>
    <w:p>
      <w:r>
        <w:t>Versicherungsmakler: Funk Gruppe GmbH, Niederlassung Koeln (Ansprechpartner Frau Annette Witt). Schadensmeldungen erfolgen ueber das Maklerportal innerhalb von 48 Stunden nach Schadensereignis. Im Berichtsjahr 2023 wurde ein Wasserschaden (Verwaltungsgebaeude) gemeldet; Regulierung Q4/2023, Schadenshoehe 18.420 EUR netto (siehe Ordner 08).</w:t>
      </w:r>
    </w:p>
    <w:p>
      <w:pPr>
        <w:pStyle w:val="Heading3"/>
      </w:pPr>
      <w:r>
        <w:t>Hinweise</w:t>
      </w:r>
    </w:p>
    <w:p>
      <w:r>
        <w:t>Police-Spiegel als Anlage 1 (Excel). Naechste Pruefung der Deckungswerte und Selbstbehalte: Q4/2024.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