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Lizenz SAP S/4HANA On-Premise (Standard Maintenance Subscription)</w:t>
      </w:r>
    </w:p>
    <w:p/>
    <w:p>
      <w:pPr>
        <w:pStyle w:val="Heading3"/>
      </w:pPr>
      <w:r>
        <w:t>Lizenznehmer</w:t>
      </w:r>
    </w:p>
    <w:p>
      <w:r>
        <w:t>Halbreiter Maschinenbau GmbH, Industriestraße 12, 50829 Köln, vertreten durch Klaus Müller. USt-IdNr.: DE 198 765 432. Hausbank: Deutsche Bank AG, Filiale Köln.</w:t>
      </w:r>
    </w:p>
    <w:p>
      <w:pPr>
        <w:pStyle w:val="Heading3"/>
      </w:pPr>
      <w:r>
        <w:t>Lizenzgeber</w:t>
      </w:r>
    </w:p>
    <w:p>
      <w:r>
        <w:t>SAP SE, Dietmar-Hopp-Allee 16, 69190 Walldorf.</w:t>
      </w:r>
    </w:p>
    <w:p>
      <w:pPr>
        <w:pStyle w:val="Heading3"/>
      </w:pPr>
      <w:r>
        <w:t>Lizenzgegenstand und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SAP S/4HANA Enterprise Edition, On-Premise (Module FI, CO, MM, SD, PP, QM)</w:t>
            </w:r>
          </w:p>
        </w:tc>
      </w:tr>
      <w:tr>
        <w:tc>
          <w:tcPr>
            <w:tcW w:type="dxa" w:w="4320"/>
          </w:tcPr>
          <w:p>
            <w:r>
              <w:t>Lizenztyp</w:t>
            </w:r>
          </w:p>
        </w:tc>
        <w:tc>
          <w:tcPr>
            <w:tcW w:type="dxa" w:w="4320"/>
          </w:tcPr>
          <w:p>
            <w:r>
              <w:t>Named-User-Lizenz + Engine-Lizenzen (HANA Runtime)</w:t>
            </w:r>
          </w:p>
        </w:tc>
      </w:tr>
      <w:tr>
        <w:tc>
          <w:tcPr>
            <w:tcW w:type="dxa" w:w="4320"/>
          </w:tcPr>
          <w:p>
            <w:r>
              <w:t>Anzahl Lizenzen / User</w:t>
            </w:r>
          </w:p>
        </w:tc>
        <w:tc>
          <w:tcPr>
            <w:tcW w:type="dxa" w:w="4320"/>
          </w:tcPr>
          <w:p>
            <w:r>
              <w:t>118 Professional User, 64 Functional User, 14 Productivity User</w:t>
            </w:r>
          </w:p>
        </w:tc>
      </w:tr>
      <w:tr>
        <w:tc>
          <w:tcPr>
            <w:tcW w:type="dxa" w:w="4320"/>
          </w:tcPr>
          <w:p>
            <w:r>
              <w:t>Anwenderkreis</w:t>
            </w:r>
          </w:p>
        </w:tc>
        <w:tc>
          <w:tcPr>
            <w:tcW w:type="dxa" w:w="4320"/>
          </w:tcPr>
          <w:p>
            <w:r>
              <w:t>Verwaltung, Buchhaltung, Einkauf, Vertrieb, Produktion</w:t>
            </w:r>
          </w:p>
        </w:tc>
      </w:tr>
      <w:tr>
        <w:tc>
          <w:tcPr>
            <w:tcW w:type="dxa" w:w="4320"/>
          </w:tcPr>
          <w:p>
            <w:r>
              <w:t>Stand der Lizenzdaten</w:t>
            </w:r>
          </w:p>
        </w:tc>
        <w:tc>
          <w:tcPr>
            <w:tcW w:type="dxa" w:w="4320"/>
          </w:tcPr>
          <w:p>
            <w:r>
              <w:t>31.12.2023</w:t>
            </w:r>
          </w:p>
        </w:tc>
      </w:tr>
    </w:tbl>
    <w:p>
      <w:pPr>
        <w:pStyle w:val="Heading3"/>
      </w:pPr>
      <w:r>
        <w:t>Konditionen</w:t>
      </w:r>
    </w:p>
    <w:p>
      <w:r>
        <w:t>Jaehrliche Lizenz-/Subskriptionsgebuehr: 284.000 EUR p.a. Wartung (Enterprise Support, 22 % der Lizenz). Zahlung jaehrlich im Voraus, Rechnungsstellung zum 1. Januar. Preisanpassung gemaess Vertrag max. einmal jaehrlich, Vorlauffrist 90 Tage.</w:t>
      </w:r>
    </w:p>
    <w:p>
      <w:pPr>
        <w:pStyle w:val="Heading3"/>
      </w:pPr>
      <w:r>
        <w:t>Laufzeit und Kuendigung</w:t>
      </w:r>
    </w:p>
    <w:p>
      <w:r>
        <w:t>Laufzeit: unbefristete Lizenz, Wartung jaehrlich verlaengernd. Ordentliche Kuendigung mit 3 Monaten Frist zum Vertragsende. Ausserordentliche Kuendigung bleibt unberuehrt.</w:t>
      </w:r>
    </w:p>
    <w:p>
      <w:pPr>
        <w:pStyle w:val="Heading3"/>
      </w:pPr>
      <w:r>
        <w:t>Support und Wartung</w:t>
      </w:r>
    </w:p>
    <w:p>
      <w:r>
        <w:t>Enterprise Support (24/7) mit Reaktionszeiten gemaess SAP-SLA.</w:t>
      </w:r>
    </w:p>
    <w:p>
      <w:r>
        <w:t>SLA-Reaktionszeiten: kritisch &lt; 4 h, hoch &lt; 8 h, normal &lt; 24 h. Software-Updates und Security-Patches sind im Vertragspreis enthalten.</w:t>
      </w:r>
    </w:p>
    <w:p>
      <w:pPr>
        <w:pStyle w:val="Heading3"/>
      </w:pPr>
      <w:r>
        <w:t>Nutzungsbeschraenkungen</w:t>
      </w:r>
    </w:p>
    <w:p>
      <w:r>
        <w:t>Die Lizenz ist auf Konzernunternehmen der Halbreiter Maschinenbau GmbH beschraenkt. Eine Weitergabe oder Unterlizensierung an konzernfremde Dritte ist ausgeschlossen. Auditrecht des Lizenzgebers mit Vorankuendigung 30 Tage, max. einmal pro Vertragsjahr.</w:t>
      </w:r>
    </w:p>
    <w:p>
      <w:pPr>
        <w:pStyle w:val="Heading3"/>
      </w:pPr>
      <w:r>
        <w:t>Datenschutz und Compliance</w:t>
      </w:r>
    </w:p>
    <w:p>
      <w:r>
        <w:t>Soweit personenbezogene Daten verarbeitet werden, gilt der DSGVO-Auftragsverarbeitungsvertrag (AVV) in der jeweils gueltigen Fassung; technisch-organisatorische Massnahmen siehe Anlage TOM. Der Lizenzgeber verfuegt ueber ISO/IEC 27001-Zertifizierung.</w:t>
      </w:r>
    </w:p>
    <w:p>
      <w:pPr>
        <w:pStyle w:val="Heading3"/>
      </w:pPr>
      <w:r>
        <w:t>Interner Verantwortlicher</w:t>
      </w:r>
    </w:p>
    <w:p>
      <w:r>
        <w:t>IT-Leitung: Holger Brinkmann; Lizenzmanagement: Anja Lenz (Compliance).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