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 SINUMERIK ONE CNC-Steuerung (Siemens)</w:t>
      </w:r>
    </w:p>
    <w:p/>
    <w:p>
      <w:pPr>
        <w:pStyle w:val="Heading3"/>
      </w:pPr>
      <w:r>
        <w:t>Lizenznehmer</w:t>
      </w:r>
    </w:p>
    <w:p>
      <w:r>
        <w:t>Halbreiter Maschinenbau GmbH, Industriestraße 12, 50829 Köln, vertreten durch Klaus Müller. USt-IdNr.: DE 198 765 432. Hausbank: Deutsche Bank AG, Filiale Köln.</w:t>
      </w:r>
    </w:p>
    <w:p>
      <w:pPr>
        <w:pStyle w:val="Heading3"/>
      </w:pPr>
      <w:r>
        <w:t>Lizenzgeber</w:t>
      </w:r>
    </w:p>
    <w:p>
      <w:r>
        <w:t>Siemens AG, Digital Industries, Werner-von-Siemens-Strasse 50, 91052 Erlangen.</w:t>
      </w:r>
    </w:p>
    <w:p>
      <w:pPr>
        <w:pStyle w:val="Heading3"/>
      </w:pPr>
      <w:r>
        <w:t>Lizenzgegenstand und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SINUMERIK ONE CNC-Steuerung inkl. SINUMERIK Edge und MindSphere-Konnektor</w:t>
            </w:r>
          </w:p>
        </w:tc>
      </w:tr>
      <w:tr>
        <w:tc>
          <w:tcPr>
            <w:tcW w:type="dxa" w:w="4320"/>
          </w:tcPr>
          <w:p>
            <w:r>
              <w:t>Lizenztyp</w:t>
            </w:r>
          </w:p>
        </w:tc>
        <w:tc>
          <w:tcPr>
            <w:tcW w:type="dxa" w:w="4320"/>
          </w:tcPr>
          <w:p>
            <w:r>
              <w:t>Maschinenbezogene Runtime-Lizenz + Optionspaket Advanced Surface</w:t>
            </w:r>
          </w:p>
        </w:tc>
      </w:tr>
      <w:tr>
        <w:tc>
          <w:tcPr>
            <w:tcW w:type="dxa" w:w="4320"/>
          </w:tcPr>
          <w:p>
            <w:r>
              <w:t>Anzahl Lizenzen / User</w:t>
            </w:r>
          </w:p>
        </w:tc>
        <w:tc>
          <w:tcPr>
            <w:tcW w:type="dxa" w:w="4320"/>
          </w:tcPr>
          <w:p>
            <w:r>
              <w:t>12 Maschinen-Runtime-Lizenzen (CNC PL-500 und LS-800)</w:t>
            </w:r>
          </w:p>
        </w:tc>
      </w:tr>
      <w:tr>
        <w:tc>
          <w:tcPr>
            <w:tcW w:type="dxa" w:w="4320"/>
          </w:tcPr>
          <w:p>
            <w:r>
              <w:t>Anwenderkreis</w:t>
            </w:r>
          </w:p>
        </w:tc>
        <w:tc>
          <w:tcPr>
            <w:tcW w:type="dxa" w:w="4320"/>
          </w:tcPr>
          <w:p>
            <w:r>
              <w:t>Produktion, CNC-Fertigung</w:t>
            </w:r>
          </w:p>
        </w:tc>
      </w:tr>
      <w:tr>
        <w:tc>
          <w:tcPr>
            <w:tcW w:type="dxa" w:w="4320"/>
          </w:tcPr>
          <w:p>
            <w:r>
              <w:t>Stand der Lizenzdaten</w:t>
            </w:r>
          </w:p>
        </w:tc>
        <w:tc>
          <w:tcPr>
            <w:tcW w:type="dxa" w:w="4320"/>
          </w:tcPr>
          <w:p>
            <w:r>
              <w:t>31.12.2023</w:t>
            </w:r>
          </w:p>
        </w:tc>
      </w:tr>
    </w:tbl>
    <w:p>
      <w:pPr>
        <w:pStyle w:val="Heading3"/>
      </w:pPr>
      <w:r>
        <w:t>Konditionen</w:t>
      </w:r>
    </w:p>
    <w:p>
      <w:r>
        <w:t>Jaehrliche Lizenz-/Subskriptionsgebuehr: 62.400 EUR p.a. Wartung. Zahlung jaehrlich im Voraus, Rechnungsstellung zum 1. Januar. Preisanpassung gemaess Vertrag max. einmal jaehrlich, Vorlauffrist 90 Tage.</w:t>
      </w:r>
    </w:p>
    <w:p>
      <w:pPr>
        <w:pStyle w:val="Heading3"/>
      </w:pPr>
      <w:r>
        <w:t>Laufzeit und Kuendigung</w:t>
      </w:r>
    </w:p>
    <w:p>
      <w:r>
        <w:t>Laufzeit: unbefristet (Runtime), Wartung verlaengernd jeweils 12 Monate. Ordentliche Kuendigung mit 3 Monaten Frist zum Vertragsende. Ausserordentliche Kuendigung bleibt unberuehrt.</w:t>
      </w:r>
    </w:p>
    <w:p>
      <w:pPr>
        <w:pStyle w:val="Heading3"/>
      </w:pPr>
      <w:r>
        <w:t>Support und Wartung</w:t>
      </w:r>
    </w:p>
    <w:p>
      <w:r>
        <w:t>Siemens Industry Online Support, Hotline 24/7.</w:t>
      </w:r>
    </w:p>
    <w:p>
      <w:r>
        <w:t>SLA-Reaktionszeiten: kritisch &lt; 4 h, hoch &lt; 8 h, normal &lt; 24 h. Software-Updates und Security-Patches sind im Vertragspreis enthalten.</w:t>
      </w:r>
    </w:p>
    <w:p>
      <w:pPr>
        <w:pStyle w:val="Heading3"/>
      </w:pPr>
      <w:r>
        <w:t>Nutzungsbeschraenkungen</w:t>
      </w:r>
    </w:p>
    <w:p>
      <w:r>
        <w:t>Die Lizenz ist auf Konzernunternehmen der Halbreiter Maschinenbau GmbH beschraenkt. Eine Weitergabe oder Unterlizensierung an konzernfremde Dritte ist ausgeschlossen. Auditrecht des Lizenzgebers mit Vorankuendigung 30 Tage, max. einmal pro Vertragsjahr.</w:t>
      </w:r>
    </w:p>
    <w:p>
      <w:pPr>
        <w:pStyle w:val="Heading3"/>
      </w:pPr>
      <w:r>
        <w:t>Datenschutz und Compliance</w:t>
      </w:r>
    </w:p>
    <w:p>
      <w:r>
        <w:t>Soweit personenbezogene Daten verarbeitet werden, gilt der DSGVO-Auftragsverarbeitungsvertrag (AVV) in der jeweils gueltigen Fassung; technisch-organisatorische Massnahmen siehe Anlage TOM. Der Lizenzgeber verfuegt ueber ISO/IEC 27001-Zertifizierung.</w:t>
      </w:r>
    </w:p>
    <w:p>
      <w:pPr>
        <w:pStyle w:val="Heading3"/>
      </w:pPr>
      <w:r>
        <w:t>Interner Verantwortlicher</w:t>
      </w:r>
    </w:p>
    <w:p>
      <w:r>
        <w:t>IT-Leitung: Holger Brinkmann; Lizenzmanagement: Anja Lenz (Compliance).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