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Gebrauchsmuster DE 20 2021 105 482.4 – Hydraulisches Schnellwechselsystem</w:t>
      </w:r>
    </w:p>
    <w:p/>
    <w:p>
      <w:pPr>
        <w:pStyle w:val="Heading3"/>
      </w:pPr>
      <w:r>
        <w:t>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Schutzrecht</w:t>
            </w:r>
          </w:p>
        </w:tc>
        <w:tc>
          <w:tcPr>
            <w:tcW w:type="dxa" w:w="4320"/>
          </w:tcPr>
          <w:p>
            <w:r>
              <w:t>Gebrauchsmuster</w:t>
            </w:r>
          </w:p>
        </w:tc>
      </w:tr>
      <w:tr>
        <w:tc>
          <w:tcPr>
            <w:tcW w:type="dxa" w:w="4320"/>
          </w:tcPr>
          <w:p>
            <w:r>
              <w:t>Aktenzeichen</w:t>
            </w:r>
          </w:p>
        </w:tc>
        <w:tc>
          <w:tcPr>
            <w:tcW w:type="dxa" w:w="4320"/>
          </w:tcPr>
          <w:p>
            <w:r>
              <w:t>DE 20 2021 105 482.4</w:t>
            </w:r>
          </w:p>
        </w:tc>
      </w:tr>
      <w:tr>
        <w:tc>
          <w:tcPr>
            <w:tcW w:type="dxa" w:w="4320"/>
          </w:tcPr>
          <w:p>
            <w:r>
              <w:t>Anmelder/Inhaber</w:t>
            </w:r>
          </w:p>
        </w:tc>
        <w:tc>
          <w:tcPr>
            <w:tcW w:type="dxa" w:w="4320"/>
          </w:tcPr>
          <w:p>
            <w:r>
              <w:t>Halbreiter Maschinenbau GmbH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Dipl.-Ing. Hartmut Lauer; Dr.-Ing. Sabine Hoff</w:t>
            </w:r>
          </w:p>
        </w:tc>
      </w:tr>
      <w:tr>
        <w:tc>
          <w:tcPr>
            <w:tcW w:type="dxa" w:w="4320"/>
          </w:tcPr>
          <w:p>
            <w:r>
              <w:t>Anmeldetag</w:t>
            </w:r>
          </w:p>
        </w:tc>
        <w:tc>
          <w:tcPr>
            <w:tcW w:type="dxa" w:w="4320"/>
          </w:tcPr>
          <w:p>
            <w:r>
              <w:t>08.10.2021</w:t>
            </w:r>
          </w:p>
        </w:tc>
      </w:tr>
      <w:tr>
        <w:tc>
          <w:tcPr>
            <w:tcW w:type="dxa" w:w="4320"/>
          </w:tcPr>
          <w:p>
            <w:r>
              <w:t>Eintragungstag</w:t>
            </w:r>
          </w:p>
        </w:tc>
        <w:tc>
          <w:tcPr>
            <w:tcW w:type="dxa" w:w="4320"/>
          </w:tcPr>
          <w:p>
            <w:r>
              <w:t>14.01.2022 (DPMA)</w:t>
            </w:r>
          </w:p>
        </w:tc>
      </w:tr>
      <w:tr>
        <w:tc>
          <w:tcPr>
            <w:tcW w:type="dxa" w:w="4320"/>
          </w:tcPr>
          <w:p>
            <w:r>
              <w:t>Schutzdauer</w:t>
            </w:r>
          </w:p>
        </w:tc>
        <w:tc>
          <w:tcPr>
            <w:tcW w:type="dxa" w:w="4320"/>
          </w:tcPr>
          <w:p>
            <w:r>
              <w:t>max. 10 Jahre, jaehrliche Aufrechterhaltungsgebuehr</w:t>
            </w:r>
          </w:p>
        </w:tc>
      </w:tr>
      <w:tr>
        <w:tc>
          <w:tcPr>
            <w:tcW w:type="dxa" w:w="4320"/>
          </w:tcPr>
          <w:p>
            <w:r>
              <w:t>Patentanwalt</w:t>
            </w:r>
          </w:p>
        </w:tc>
        <w:tc>
          <w:tcPr>
            <w:tcW w:type="dxa" w:w="4320"/>
          </w:tcPr>
          <w:p>
            <w:r>
              <w:t>Boehmert &amp; Boehmert PartG mbB, Berlin</w:t>
            </w:r>
          </w:p>
        </w:tc>
      </w:tr>
    </w:tbl>
    <w:p>
      <w:pPr>
        <w:pStyle w:val="Heading3"/>
      </w:pPr>
      <w:r>
        <w:t>Bezeichnung</w:t>
      </w:r>
    </w:p>
    <w:p>
      <w:r>
        <w:t>Hydraulisches Schnellwechselsystem fuer Pressenwerkzeuge mit selbstzentrierender Klemmgeometrie zur Reduktion der Ruestzeit von Stanzpressen der Baureihe PL-500.</w:t>
      </w:r>
    </w:p>
    <w:p>
      <w:pPr>
        <w:pStyle w:val="Heading3"/>
      </w:pPr>
      <w:r>
        <w:t>Schutzanspruch (Kurzdarstellung)</w:t>
      </w:r>
    </w:p>
    <w:p>
      <w:r>
        <w:t>Anspruch 1: Schnellwechselsystem mit hydraulischer Klemmvorrichtung zur Aufnahme von Pressenwerkzeugen, dadurch gekennzeichnet, dass die Klemmkraefte ueber selbstzentrierende konische Aufnahmeflaechen geleitet und ueber eine integrierte Druck-Sensorik im Bereich von 220 bis 280 bar geregelt werden, sodass eine Werkzeugfixierung in unter 90 Sekunden erreichbar ist.</w:t>
      </w:r>
    </w:p>
    <w:p>
      <w:r>
        <w:t>Ansprueche 2 - 8 betreffen vorteilhafte Ausgestaltungen (Sensorik, Hydraulikkreislauf, modulare Bauweise).</w:t>
      </w:r>
    </w:p>
    <w:p>
      <w:pPr>
        <w:pStyle w:val="Heading3"/>
      </w:pPr>
      <w:r>
        <w:t>Wirtschaftliche Bedeutung</w:t>
      </w:r>
    </w:p>
    <w:p>
      <w:r>
        <w:t>Die Erfindung reduziert Werkzeugwechselzeiten an Pressenlinien der Halbreiter Maschinenbau GmbH von durchschnittlich 12 Minuten auf unter 2 Minuten. Sie wird seit 2022 in der PL-500-Serie eingesetzt und ist ein wesentliches Differenzierungsmerkmal gegenueber Mitbewerbern wie Schuler oder Fagor.</w:t>
      </w:r>
    </w:p>
    <w:p>
      <w:pPr>
        <w:pStyle w:val="Heading3"/>
      </w:pPr>
      <w:r>
        <w:t>Status und 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Jahr</w:t>
            </w:r>
          </w:p>
        </w:tc>
        <w:tc>
          <w:tcPr>
            <w:tcW w:type="dxa" w:w="2160"/>
          </w:tcPr>
          <w:p>
            <w:r>
              <w:t>Aufrechterhaltungsgebuehr DPMA</w:t>
            </w:r>
          </w:p>
        </w:tc>
        <w:tc>
          <w:tcPr>
            <w:tcW w:type="dxa" w:w="2160"/>
          </w:tcPr>
          <w:p>
            <w:r>
              <w:t>Zahlung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3. Jahr (2024)</w:t>
            </w:r>
          </w:p>
        </w:tc>
        <w:tc>
          <w:tcPr>
            <w:tcW w:type="dxa" w:w="2160"/>
          </w:tcPr>
          <w:p>
            <w:r>
              <w:t>260 EUR</w:t>
            </w:r>
          </w:p>
        </w:tc>
        <w:tc>
          <w:tcPr>
            <w:tcW w:type="dxa" w:w="2160"/>
          </w:tcPr>
          <w:p>
            <w:r>
              <w:t>geleistet 12.01.2024</w:t>
            </w:r>
          </w:p>
        </w:tc>
        <w:tc>
          <w:tcPr>
            <w:tcW w:type="dxa" w:w="2160"/>
          </w:tcPr>
          <w:p>
            <w:r>
              <w:t>aufrechterhalten</w:t>
            </w:r>
          </w:p>
        </w:tc>
      </w:tr>
      <w:tr>
        <w:tc>
          <w:tcPr>
            <w:tcW w:type="dxa" w:w="2160"/>
          </w:tcPr>
          <w:p>
            <w:r>
              <w:t>4. Jahr (2025)</w:t>
            </w:r>
          </w:p>
        </w:tc>
        <w:tc>
          <w:tcPr>
            <w:tcW w:type="dxa" w:w="2160"/>
          </w:tcPr>
          <w:p>
            <w:r>
              <w:t>260 EUR</w:t>
            </w:r>
          </w:p>
        </w:tc>
        <w:tc>
          <w:tcPr>
            <w:tcW w:type="dxa" w:w="2160"/>
          </w:tcPr>
          <w:p>
            <w:r>
              <w:t>geplant 01/2025</w:t>
            </w:r>
          </w:p>
        </w:tc>
        <w:tc>
          <w:tcPr>
            <w:tcW w:type="dxa" w:w="2160"/>
          </w:tcPr>
          <w:p>
            <w:r>
              <w:t>vorgesehen</w:t>
            </w:r>
          </w:p>
        </w:tc>
      </w:tr>
    </w:tbl>
    <w:p>
      <w:pPr>
        <w:pStyle w:val="Heading3"/>
      </w:pPr>
      <w:r>
        <w:t>Empfehlung</w:t>
      </w:r>
    </w:p>
    <w:p>
      <w:r>
        <w:t>Der Patentanwalt empfiehlt eine Pruefung der Erweiterung in Europa (EP) sowie ggf. USA/China zur Q3/2024. Geschaeftsfuehrung wird sich mit der Empfehlung im Rahmen der naechsten IP-Strategieklausur befassen.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