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Markenrechte MMB – Eintragung Deutsches Patent- und Markenamt (DPMA)</w:t>
      </w:r>
    </w:p>
    <w:p/>
    <w:p>
      <w:pPr>
        <w:pStyle w:val="Heading3"/>
      </w:pPr>
      <w:r>
        <w:t>Markenuebersicht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Markeninhaber</w:t>
            </w:r>
          </w:p>
        </w:tc>
        <w:tc>
          <w:tcPr>
            <w:tcW w:type="dxa" w:w="4320"/>
          </w:tcPr>
          <w:p>
            <w:r>
              <w:t>Halbreiter Maschinenbau GmbH</w:t>
            </w:r>
          </w:p>
        </w:tc>
      </w:tr>
      <w:tr>
        <w:tc>
          <w:tcPr>
            <w:tcW w:type="dxa" w:w="4320"/>
          </w:tcPr>
          <w:p>
            <w:r>
              <w:t>Markenform</w:t>
            </w:r>
          </w:p>
        </w:tc>
        <w:tc>
          <w:tcPr>
            <w:tcW w:type="dxa" w:w="4320"/>
          </w:tcPr>
          <w:p>
            <w:r>
              <w:t>Wort-/Bildmarke (MMB-Logo)</w:t>
            </w:r>
          </w:p>
        </w:tc>
      </w:tr>
      <w:tr>
        <w:tc>
          <w:tcPr>
            <w:tcW w:type="dxa" w:w="4320"/>
          </w:tcPr>
          <w:p>
            <w:r>
              <w:t>Register-Nr. DPMA</w:t>
            </w:r>
          </w:p>
        </w:tc>
        <w:tc>
          <w:tcPr>
            <w:tcW w:type="dxa" w:w="4320"/>
          </w:tcPr>
          <w:p>
            <w:r>
              <w:t>30 2017 209 187</w:t>
            </w:r>
          </w:p>
        </w:tc>
      </w:tr>
      <w:tr>
        <w:tc>
          <w:tcPr>
            <w:tcW w:type="dxa" w:w="4320"/>
          </w:tcPr>
          <w:p>
            <w:r>
              <w:t>Eintragungstag</w:t>
            </w:r>
          </w:p>
        </w:tc>
        <w:tc>
          <w:tcPr>
            <w:tcW w:type="dxa" w:w="4320"/>
          </w:tcPr>
          <w:p>
            <w:r>
              <w:t>22.05.2017</w:t>
            </w:r>
          </w:p>
        </w:tc>
      </w:tr>
      <w:tr>
        <w:tc>
          <w:tcPr>
            <w:tcW w:type="dxa" w:w="4320"/>
          </w:tcPr>
          <w:p>
            <w:r>
              <w:t>Letzte Verlaengerung</w:t>
            </w:r>
          </w:p>
        </w:tc>
        <w:tc>
          <w:tcPr>
            <w:tcW w:type="dxa" w:w="4320"/>
          </w:tcPr>
          <w:p>
            <w:r>
              <w:t>22.05.2027 (10 Jahre)</w:t>
            </w:r>
          </w:p>
        </w:tc>
      </w:tr>
      <w:tr>
        <w:tc>
          <w:tcPr>
            <w:tcW w:type="dxa" w:w="4320"/>
          </w:tcPr>
          <w:p>
            <w:r>
              <w:t>Anwalt</w:t>
            </w:r>
          </w:p>
        </w:tc>
        <w:tc>
          <w:tcPr>
            <w:tcW w:type="dxa" w:w="4320"/>
          </w:tcPr>
          <w:p>
            <w:r>
              <w:t>Boehmert &amp; Boehmert PartG mbB, Berlin</w:t>
            </w:r>
          </w:p>
        </w:tc>
      </w:tr>
    </w:tbl>
    <w:p>
      <w:pPr>
        <w:pStyle w:val="Heading3"/>
      </w:pPr>
      <w:r>
        <w:t>Geschuetzte Nizza-Klassen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Klasse</w:t>
            </w:r>
          </w:p>
        </w:tc>
        <w:tc>
          <w:tcPr>
            <w:tcW w:type="dxa" w:w="4320"/>
          </w:tcPr>
          <w:p>
            <w:r>
              <w:t>Beschreibung (Auszug)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Maschinen, Maschinenwerkzeuge, motorische Geraete (Pressen, Foerderbaender, Laser)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Mess-, Kontroll- und Lehrgeraete; Software fuer Maschinensteuerung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Installation, Wartung und Reparatur von Maschinen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Wissenschaftliche und technologische Dienstleistungen; Engineering</w:t>
            </w:r>
          </w:p>
        </w:tc>
      </w:tr>
    </w:tbl>
    <w:p>
      <w:pPr>
        <w:pStyle w:val="Heading3"/>
      </w:pPr>
      <w:r>
        <w:t>Internationale Ausdehnungen</w:t>
      </w:r>
    </w:p>
    <w:p>
      <w:pPr>
        <w:pStyle w:val="ListBullet"/>
      </w:pPr>
      <w:r>
        <w:t>IR-Marke (Madrid Protocol): Anmeldung 14.06.2018, geschuetzt in EUIPO, CH, TR, US, CN.</w:t>
      </w:r>
    </w:p>
    <w:p>
      <w:pPr>
        <w:pStyle w:val="ListBullet"/>
      </w:pPr>
      <w:r>
        <w:t>EU-Marke (EUIPO): 017 821 432, eingetragen 03.10.2018.</w:t>
      </w:r>
    </w:p>
    <w:p>
      <w:pPr>
        <w:pStyle w:val="ListBullet"/>
      </w:pPr>
      <w:r>
        <w:t>US-Marke (USPTO): 5 901 234, eingetragen 06.05.2019.</w:t>
      </w:r>
    </w:p>
    <w:p>
      <w:pPr>
        <w:pStyle w:val="Heading3"/>
      </w:pPr>
      <w:r>
        <w:t>Kosten und Verwaltung</w:t>
      </w:r>
    </w:p>
    <w:p>
      <w:r>
        <w:t>Jaehrliche Verwaltungskosten der Markenfamilie: rund 6.800 EUR (Anwaltsgebuehren + Renewal-Gebuehren). Naechste Verlaengerung in groesserem Umfang: 2027 (DPMA), 2028 (EUIPO/IR). Markenueberwachung erfolgt durch Compagnia Markenschutz GmbH (Quartalsberichte zu Kollisionen).</w:t>
      </w:r>
    </w:p>
    <w:p>
      <w:pPr>
        <w:pStyle w:val="Heading3"/>
      </w:pPr>
      <w:r>
        <w:t>Lizenzierung</w:t>
      </w:r>
    </w:p>
    <w:p>
      <w:r>
        <w:t>Die Marke wird konzernintern verwendet. Externe Lizenzen werden derzeit nicht vergeben. Eine eventuelle Lizenzierung an Joint-Venture-Partner waere durch die Geschaeftsfuehrung gesondert zu genehmigen.</w:t>
      </w:r>
    </w:p>
    <w:p>
      <w:pPr>
        <w:pStyle w:val="Heading3"/>
      </w:pPr>
      <w:r>
        <w:t>Streitigkeiten</w:t>
      </w:r>
    </w:p>
    <w:p>
      <w:r>
        <w:t>Es bestehen keine offenen Loeschungs- oder Widerspruchsverfahren. Im Jahr 2023 wurden zwei Kollisionen (EUIPO) gemeldet und einvernehmlich beigelegt (Koexistenzvereinbarungen). Eine bilaterale Koexistenzvereinbarung wurde mit einem belgischen Maschinenbauer (»Muller Industries SA«) abgeschlossen; der Geltungsbereich der jeweils geschuetzten Marken wurde nach Branchen und Regionen klar abgegrenzt.</w:t>
      </w:r>
    </w:p>
    <w:p>
      <w:pPr>
        <w:pStyle w:val="Heading3"/>
      </w:pPr>
      <w:r>
        <w:t>Strategie und Roadmap</w:t>
      </w:r>
    </w:p>
    <w:p>
      <w:r>
        <w:t>Die Markenstrategie der Halbreiter Maschinenbau GmbH zielt auf eine konsequente Premium-Positionierung der Marke »MMB« im Bereich Sondermaschinenbau. Geplante Schritte 2024/2025: Anmeldung der Marke in Brasilien (INPI) und Indien (Trade Marks Registry) im Zuge der Internationalisierungs-Roadmap (siehe Ordner 11). Pruefung einer Submarken-Strategie fuer die Produktlinien PL/FB/LS/MR. Eine Markenwertbewertung gemaess ISO 10668 wurde durch Brand Finance Deutschland zum Bewertungsstichtag 31.12.2023 mit 4,8 Mio. EUR (Markenwert) durchgefuehrt; der vollstaendige Bewertungsbericht liegt der Finanzabteilung vor.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