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Software-Entwicklungsvertrag UNITY AG – Vorausschauende Instandhaltung</w:t>
      </w:r>
    </w:p>
    <w:p>
      <w:pPr>
        <w:jc w:val="center"/>
      </w:pPr>
      <w:r>
        <w:t>Vertrag UN-MMB-2023-PR-014 vom 14. Juli 2023</w:t>
      </w:r>
    </w:p>
    <w:p/>
    <w:p>
      <w:pPr>
        <w:pStyle w:val="Heading3"/>
      </w:pPr>
      <w:r>
        <w:t>Vertragspartner</w:t>
      </w:r>
    </w:p>
    <w:p>
      <w:r>
        <w:t>Auftraggeberin: Halbreiter Maschinenbau GmbH.</w:t>
      </w:r>
    </w:p>
    <w:p>
      <w:r>
        <w:t>Auftragnehmer: UNITY Innovation Alliance AG, Buerener Strasse 14, 33102 Paderborn, vertreten durch Vorstandsmitglied Frau Dr. Brigitte Kupke.</w:t>
      </w:r>
    </w:p>
    <w:p>
      <w:pPr>
        <w:pStyle w:val="Heading3"/>
      </w:pPr>
      <w:r>
        <w:t>Gegenstand</w:t>
      </w:r>
    </w:p>
    <w:p>
      <w:r>
        <w:t>Entwicklung einer Predictive-Maintenance-Software fuer die Pressenlinie PL-500 und die Foerderbandanlage FB-200. Funktionen: Echtzeitdaten-Ingest (OPC-UA), Anomalieerkennung mittels klassischer Statistik und ML (Isolation Forest, LSTM-Autoencoder), Visualisierung im Dashboard, Alerting via E-Mail / Microsoft Teams.</w:t>
      </w:r>
    </w:p>
    <w:p>
      <w:pPr>
        <w:pStyle w:val="Heading3"/>
      </w:pPr>
      <w:r>
        <w:t>Vergutung</w:t>
      </w:r>
    </w:p>
    <w:p>
      <w:r>
        <w:t>Pauschalpreis 285.000 EUR netto inkl. Reisekosten; zahlbar in vier Tranchen (70.000 / 90.000 / 80.000 / 45.000 EUR) nach Milestones M1-M4. Pflegevertrag fuer 24 Monate nach Abnahme: 38.000 EUR p. a.</w:t>
      </w:r>
    </w:p>
    <w:p>
      <w:pPr>
        <w:pStyle w:val="Heading3"/>
      </w:pPr>
      <w:r>
        <w:t>Rechte / IP</w:t>
      </w:r>
    </w:p>
    <w:p>
      <w:r>
        <w:t>Saemtliche Arbeitsergebnisse / Quellcode gehen mit vollstaendiger Zahlung in das Eigentum der MMB ueber; ausgenommen UNITY-eigene Frameworks (Vorbestehendes IP), die als nicht-exklusive Lizenz dauerhaft unentgeltlich mitgeliefert werden. Veroeffentlichungen / Referenzen beduerfen der Zustimmung der MMB.</w:t>
      </w:r>
    </w:p>
    <w:p>
      <w:pPr>
        <w:pStyle w:val="Heading3"/>
      </w:pPr>
      <w:r>
        <w:t>Termine / Milestones</w:t>
      </w:r>
    </w:p>
    <w:p>
      <w:r>
        <w:t>M1 Konzept (30.9.2023); M2 Prototyp (15.12.2023); M3 Pilotbetrieb 3 Monate bei ThyssenKrupp Steel Europe AG (31.3.2024); M4 Abnahme und Produktivsetzung (30.6.2024).</w:t>
      </w:r>
    </w:p>
    <w:p>
      <w:pPr>
        <w:pStyle w:val="Heading3"/>
      </w:pPr>
      <w:r>
        <w:t>Unterschriften</w:t>
      </w:r>
    </w:p>
    <w:p>
      <w:r>
        <w:t>Ort, Datum: Koeln / Paderborn, den 14. Juli 2023</w:t>
      </w:r>
    </w:p>
    <w:p>
      <w:r>
        <w:t>_________________________            _________________________</w:t>
        <w:br/>
        <w:t>Sandra Becker / Michael Weber                          Dr. Brigitte Kupke</w:t>
        <w:br/>
        <w:t>GF / F&amp;E                          Vorstand</w:t>
        <w:br/>
        <w:t>Halbreiter Maschinenbau GmbH                       UNITY Innovation Alliance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