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Risikoanalyse 2024 – durchgefuehrt durch Versicherungsmakler</w:t>
      </w:r>
    </w:p>
    <w:p>
      <w:pPr>
        <w:jc w:val="center"/>
      </w:pPr>
      <w:r>
        <w:t>HDI Risk Consulting GmbH, Bericht vom 8. Februar 2024</w:t>
      </w:r>
    </w:p>
    <w:p/>
    <w:p>
      <w:pPr>
        <w:pStyle w:val="Heading3"/>
      </w:pPr>
      <w:r>
        <w:t>Auftrag</w:t>
      </w:r>
    </w:p>
    <w:p>
      <w:r>
        <w:t>Im Rahmen der jaehrlichen Maklerueberpruefung hat die HDI Risk Consulting GmbH ein umfassendes Risk-Assessment der Halbreiter Maschinenbau GmbH durchgefuehrt. Berichtszeitraum 1.1.2023 - 31.12.2023, ergaenzt um Standortbegehung 14./15. November 2023.</w:t>
      </w:r>
    </w:p>
    <w:p>
      <w:pPr>
        <w:pStyle w:val="Heading3"/>
      </w:pPr>
      <w:r>
        <w:t>Risikoportfolio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Risikofeld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Versicherungsstatus</w:t>
            </w:r>
          </w:p>
        </w:tc>
        <w:tc>
          <w:tcPr>
            <w:tcW w:type="dxa" w:w="2160"/>
          </w:tcPr>
          <w:p>
            <w:r>
              <w:t>Empfehlung</w:t>
            </w:r>
          </w:p>
        </w:tc>
      </w:tr>
      <w:tr>
        <w:tc>
          <w:tcPr>
            <w:tcW w:type="dxa" w:w="2160"/>
          </w:tcPr>
          <w:p>
            <w:r>
              <w:t>Brand / Feuer</w:t>
            </w:r>
          </w:p>
        </w:tc>
        <w:tc>
          <w:tcPr>
            <w:tcW w:type="dxa" w:w="2160"/>
          </w:tcPr>
          <w:p>
            <w:r>
              <w:t>mittel-hoch</w:t>
            </w:r>
          </w:p>
        </w:tc>
        <w:tc>
          <w:tcPr>
            <w:tcW w:type="dxa" w:w="2160"/>
          </w:tcPr>
          <w:p>
            <w:r>
              <w:t>Allianz Industrieline (12,5 Mio. EUR SUM)</w:t>
            </w:r>
          </w:p>
        </w:tc>
        <w:tc>
          <w:tcPr>
            <w:tcW w:type="dxa" w:w="2160"/>
          </w:tcPr>
          <w:p>
            <w:r>
              <w:t>Anhebung +2 Mio. EUR</w:t>
            </w:r>
          </w:p>
        </w:tc>
      </w:tr>
      <w:tr>
        <w:tc>
          <w:tcPr>
            <w:tcW w:type="dxa" w:w="2160"/>
          </w:tcPr>
          <w:p>
            <w:r>
              <w:t>Maschinenbruch / Elektronik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HDI Global (10 Mio. EUR SUM)</w:t>
            </w:r>
          </w:p>
        </w:tc>
        <w:tc>
          <w:tcPr>
            <w:tcW w:type="dxa" w:w="2160"/>
          </w:tcPr>
          <w:p>
            <w:r>
              <w:t>Adaequat</w:t>
            </w:r>
          </w:p>
        </w:tc>
      </w:tr>
      <w:tr>
        <w:tc>
          <w:tcPr>
            <w:tcW w:type="dxa" w:w="2160"/>
          </w:tcPr>
          <w:p>
            <w:r>
              <w:t>Betriebshaftpflicht / Produkthaftpflicht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Allianz (10/15 Mio.)</w:t>
            </w:r>
          </w:p>
        </w:tc>
        <w:tc>
          <w:tcPr>
            <w:tcW w:type="dxa" w:w="2160"/>
          </w:tcPr>
          <w:p>
            <w:r>
              <w:t>Erhoehung wg. Exportmexiko</w:t>
            </w:r>
          </w:p>
        </w:tc>
      </w:tr>
      <w:tr>
        <w:tc>
          <w:tcPr>
            <w:tcW w:type="dxa" w:w="2160"/>
          </w:tcPr>
          <w:p>
            <w:r>
              <w:t>D&amp;O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Allianz (10 Mio. EUR)</w:t>
            </w:r>
          </w:p>
        </w:tc>
        <w:tc>
          <w:tcPr>
            <w:tcW w:type="dxa" w:w="2160"/>
          </w:tcPr>
          <w:p>
            <w:r>
              <w:t>Adaequat</w:t>
            </w:r>
          </w:p>
        </w:tc>
      </w:tr>
      <w:tr>
        <w:tc>
          <w:tcPr>
            <w:tcW w:type="dxa" w:w="2160"/>
          </w:tcPr>
          <w:p>
            <w:r>
              <w:t>Cyber / IT</w:t>
            </w:r>
          </w:p>
        </w:tc>
        <w:tc>
          <w:tcPr>
            <w:tcW w:type="dxa" w:w="2160"/>
          </w:tcPr>
          <w:p>
            <w:r>
              <w:t>hoch (steigend)</w:t>
            </w:r>
          </w:p>
        </w:tc>
        <w:tc>
          <w:tcPr>
            <w:tcW w:type="dxa" w:w="2160"/>
          </w:tcPr>
          <w:p>
            <w:r>
              <w:t>Hiscox (2 Mio. EUR)</w:t>
            </w:r>
          </w:p>
        </w:tc>
        <w:tc>
          <w:tcPr>
            <w:tcW w:type="dxa" w:w="2160"/>
          </w:tcPr>
          <w:p>
            <w:r>
              <w:t>Erhoehung auf 5 Mio. empfohlen</w:t>
            </w:r>
          </w:p>
        </w:tc>
      </w:tr>
      <w:tr>
        <w:tc>
          <w:tcPr>
            <w:tcW w:type="dxa" w:w="2160"/>
          </w:tcPr>
          <w:p>
            <w:r>
              <w:t>Transport (Export Mex/CN)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AXA (1 Mio. EUR pro Transport)</w:t>
            </w:r>
          </w:p>
        </w:tc>
        <w:tc>
          <w:tcPr>
            <w:tcW w:type="dxa" w:w="2160"/>
          </w:tcPr>
          <w:p>
            <w:r>
              <w:t>Project-Spezial fuer Schwerlasten</w:t>
            </w:r>
          </w:p>
        </w:tc>
      </w:tr>
      <w:tr>
        <w:tc>
          <w:tcPr>
            <w:tcW w:type="dxa" w:w="2160"/>
          </w:tcPr>
          <w:p>
            <w:r>
              <w:t>Umwelt / Gewaesser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HDI (1 Mio. EUR)</w:t>
            </w:r>
          </w:p>
        </w:tc>
        <w:tc>
          <w:tcPr>
            <w:tcW w:type="dxa" w:w="2160"/>
          </w:tcPr>
          <w:p>
            <w:r>
              <w:t>Adaequat</w:t>
            </w:r>
          </w:p>
        </w:tc>
      </w:tr>
    </w:tbl>
    <w:p>
      <w:pPr>
        <w:pStyle w:val="Heading3"/>
      </w:pPr>
      <w:r>
        <w:t>Empfehlungen</w:t>
      </w:r>
    </w:p>
    <w:p>
      <w:pPr>
        <w:pStyle w:val="ListBullet"/>
      </w:pPr>
      <w:r>
        <w:t>Cyber-Versicherung auf 5 Mio. EUR SUM erhoehen (Hintergrund: zunehmende Bedrohungslage im Maschinenbau, BSI Lagebericht 2023).</w:t>
      </w:r>
    </w:p>
    <w:p>
      <w:pPr>
        <w:pStyle w:val="ListBullet"/>
      </w:pPr>
      <w:r>
        <w:t>Brand-Sprinkler-Pruefung VdS 2092 in Halle A vorziehen (durch Trocknungsphase im Herbst potenziell Sprinkler-Empfindlichkeit verschoben).</w:t>
      </w:r>
    </w:p>
    <w:p>
      <w:pPr>
        <w:pStyle w:val="ListBullet"/>
      </w:pPr>
      <w:r>
        <w:t>BR (Betriebsunterbrechung) auf 8 Monate (statt 6) erweitern.</w:t>
      </w:r>
    </w:p>
    <w:p>
      <w:pPr>
        <w:pStyle w:val="ListBullet"/>
      </w:pPr>
      <w:r>
        <w:t>Mexico-Risiko separat absichern (zusaetzlich Cargo-Versicherung Aufgabe / Lieferweg Krefeld -&gt; Bremerhaven -&gt; Veracruz -&gt; Queretaro).</w:t>
      </w:r>
    </w:p>
    <w:p>
      <w:pPr>
        <w:pStyle w:val="Heading3"/>
      </w:pPr>
      <w:r>
        <w:t>Kostenfolge</w:t>
      </w:r>
    </w:p>
    <w:p>
      <w:r>
        <w:t>Praemienanpassungen 2024 voraussichtlich + 8,2 % (Vorjahr + 6,4 %), aufgrund Cyber- und Inhaltsanpassungen. Erwartete Gesamtpraemien: 285.000 EUR p.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