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Schadensmeldung 2023 – Wasserschaden Verwaltungsgebaeude</w:t>
      </w:r>
    </w:p>
    <w:p/>
    <w:p>
      <w:pPr>
        <w:pStyle w:val="Heading3"/>
      </w:pPr>
      <w:r>
        <w:t>Schadenseckdaten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Merkmal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Schadensnummer (Versicherer)</w:t>
            </w:r>
          </w:p>
        </w:tc>
        <w:tc>
          <w:tcPr>
            <w:tcW w:type="dxa" w:w="4320"/>
          </w:tcPr>
          <w:p>
            <w:r>
              <w:t>AGCS-2023-09-2178</w:t>
            </w:r>
          </w:p>
        </w:tc>
      </w:tr>
      <w:tr>
        <w:tc>
          <w:tcPr>
            <w:tcW w:type="dxa" w:w="4320"/>
          </w:tcPr>
          <w:p>
            <w:r>
              <w:t>Versicherer</w:t>
            </w:r>
          </w:p>
        </w:tc>
        <w:tc>
          <w:tcPr>
            <w:tcW w:type="dxa" w:w="4320"/>
          </w:tcPr>
          <w:p>
            <w:r>
              <w:t>Allianz Versicherungs-AG</w:t>
            </w:r>
          </w:p>
        </w:tc>
      </w:tr>
      <w:tr>
        <w:tc>
          <w:tcPr>
            <w:tcW w:type="dxa" w:w="4320"/>
          </w:tcPr>
          <w:p>
            <w:r>
              <w:t>Police-Nr.</w:t>
            </w:r>
          </w:p>
        </w:tc>
        <w:tc>
          <w:tcPr>
            <w:tcW w:type="dxa" w:w="4320"/>
          </w:tcPr>
          <w:p>
            <w:r>
              <w:t>GB-2023-22431</w:t>
            </w:r>
          </w:p>
        </w:tc>
      </w:tr>
      <w:tr>
        <w:tc>
          <w:tcPr>
            <w:tcW w:type="dxa" w:w="4320"/>
          </w:tcPr>
          <w:p>
            <w:r>
              <w:t>Schadenstag</w:t>
            </w:r>
          </w:p>
        </w:tc>
        <w:tc>
          <w:tcPr>
            <w:tcW w:type="dxa" w:w="4320"/>
          </w:tcPr>
          <w:p>
            <w:r>
              <w:t>11.09.2023, ca. 22:40 Uhr</w:t>
            </w:r>
          </w:p>
        </w:tc>
      </w:tr>
      <w:tr>
        <w:tc>
          <w:tcPr>
            <w:tcW w:type="dxa" w:w="4320"/>
          </w:tcPr>
          <w:p>
            <w:r>
              <w:t>Schadensort</w:t>
            </w:r>
          </w:p>
        </w:tc>
        <w:tc>
          <w:tcPr>
            <w:tcW w:type="dxa" w:w="4320"/>
          </w:tcPr>
          <w:p>
            <w:r>
              <w:t>Verwaltungsgebaeude, 2. OG, Bereich Buchhaltung</w:t>
            </w:r>
          </w:p>
        </w:tc>
      </w:tr>
      <w:tr>
        <w:tc>
          <w:tcPr>
            <w:tcW w:type="dxa" w:w="4320"/>
          </w:tcPr>
          <w:p>
            <w:r>
              <w:t>Schadensursache</w:t>
            </w:r>
          </w:p>
        </w:tc>
        <w:tc>
          <w:tcPr>
            <w:tcW w:type="dxa" w:w="4320"/>
          </w:tcPr>
          <w:p>
            <w:r>
              <w:t>Bruch einer Anschlussleitung Heizungssystem (Stockwerksverteilung)</w:t>
            </w:r>
          </w:p>
        </w:tc>
      </w:tr>
      <w:tr>
        <w:tc>
          <w:tcPr>
            <w:tcW w:type="dxa" w:w="4320"/>
          </w:tcPr>
          <w:p>
            <w:r>
              <w:t>Versicherter Schaden</w:t>
            </w:r>
          </w:p>
        </w:tc>
        <w:tc>
          <w:tcPr>
            <w:tcW w:type="dxa" w:w="4320"/>
          </w:tcPr>
          <w:p>
            <w:r>
              <w:t>Wasserschaden Gebaeude und Inhalt</w:t>
            </w:r>
          </w:p>
        </w:tc>
      </w:tr>
      <w:tr>
        <w:tc>
          <w:tcPr>
            <w:tcW w:type="dxa" w:w="4320"/>
          </w:tcPr>
          <w:p>
            <w:r>
              <w:t>Schadenshoehe (gemeldet)</w:t>
            </w:r>
          </w:p>
        </w:tc>
        <w:tc>
          <w:tcPr>
            <w:tcW w:type="dxa" w:w="4320"/>
          </w:tcPr>
          <w:p>
            <w:r>
              <w:t>ca. 18.420 EUR netto</w:t>
            </w:r>
          </w:p>
        </w:tc>
      </w:tr>
    </w:tbl>
    <w:p>
      <w:pPr>
        <w:pStyle w:val="Heading3"/>
      </w:pPr>
      <w:r>
        <w:t>Schadensverlauf</w:t>
      </w:r>
    </w:p>
    <w:p>
      <w:r>
        <w:t>Am 11.09.2023 gegen 22:40 Uhr loeste der Wassermelder im 2. OG des Verwaltungsgebaeudes Alarm aus (Brand- und Wassermeldeanlage Bosch). Die unverzueglich verstaendigte Werkfeuerwehr und ein Mitarbeiter des Hausmeister-Dienstleisters (Gegenbauer Services GmbH) erreichten den Standort innerhalb von 25 Minuten und stellten den Hauptwasserzulauf ab. Eine defekte Loetstelle in der Etagen-Anschlussleitung war Ausloeser des Ereignisses. Betroffen sind drei Bueros der Buchhaltung (Boden, untere Wandflaechen, Aktenschrank) sowie der angrenzende Flur. Die EDV-Ausstattung wurde nicht beschaedigt.</w:t>
      </w:r>
    </w:p>
    <w:p>
      <w:pPr>
        <w:pStyle w:val="Heading3"/>
      </w:pPr>
      <w:r>
        <w:t>Sofortmassnahmen</w:t>
      </w:r>
    </w:p>
    <w:p>
      <w:pPr>
        <w:pStyle w:val="ListBullet"/>
      </w:pPr>
      <w:r>
        <w:t>Abschaltung Wasserversorgung Etage 2 und Trocknung (Aufstellung Bautrockner durch Belfor) ab 12.09.2023.</w:t>
      </w:r>
    </w:p>
    <w:p>
      <w:pPr>
        <w:pStyle w:val="ListBullet"/>
      </w:pPr>
      <w:r>
        <w:t>Sicherung beschaedigter Akten in Trocknungskammer Belfor (Schadensminderung).</w:t>
      </w:r>
    </w:p>
    <w:p>
      <w:pPr>
        <w:pStyle w:val="ListBullet"/>
      </w:pPr>
      <w:r>
        <w:t>Provisorische Versetzung der drei betroffenen Buchhaltungsmitarbeiter in das Besprechungsruraum 2.4.</w:t>
      </w:r>
    </w:p>
    <w:p>
      <w:pPr>
        <w:pStyle w:val="ListBullet"/>
      </w:pPr>
      <w:r>
        <w:t>Sofortmeldung an Versicherer (Funk Gruppe als Makler) am 12.09.2023 - 08:15 Uhr.</w:t>
      </w:r>
    </w:p>
    <w:p>
      <w:pPr>
        <w:pStyle w:val="Heading3"/>
      </w:pPr>
      <w:r>
        <w:t>Schadenshoehe (Aufstellung)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Betrag netto EUR</w:t>
            </w:r>
          </w:p>
        </w:tc>
      </w:tr>
      <w:tr>
        <w:tc>
          <w:tcPr>
            <w:tcW w:type="dxa" w:w="4320"/>
          </w:tcPr>
          <w:p>
            <w:r>
              <w:t>Trocknung und Mietkosten Bautrockner (Belfor)</w:t>
            </w:r>
          </w:p>
        </w:tc>
        <w:tc>
          <w:tcPr>
            <w:tcW w:type="dxa" w:w="4320"/>
          </w:tcPr>
          <w:p>
            <w:r>
              <w:t>6.840</w:t>
            </w:r>
          </w:p>
        </w:tc>
      </w:tr>
      <w:tr>
        <w:tc>
          <w:tcPr>
            <w:tcW w:type="dxa" w:w="4320"/>
          </w:tcPr>
          <w:p>
            <w:r>
              <w:t>Maler- und Bodenarbeiten (Trocknungs- und Renovierungsarbeiten)</w:t>
            </w:r>
          </w:p>
        </w:tc>
        <w:tc>
          <w:tcPr>
            <w:tcW w:type="dxa" w:w="4320"/>
          </w:tcPr>
          <w:p>
            <w:r>
              <w:t>7.920</w:t>
            </w:r>
          </w:p>
        </w:tc>
      </w:tr>
      <w:tr>
        <w:tc>
          <w:tcPr>
            <w:tcW w:type="dxa" w:w="4320"/>
          </w:tcPr>
          <w:p>
            <w:r>
              <w:t>Reinigung und Aktenrettung (Belfor)</w:t>
            </w:r>
          </w:p>
        </w:tc>
        <w:tc>
          <w:tcPr>
            <w:tcW w:type="dxa" w:w="4320"/>
          </w:tcPr>
          <w:p>
            <w:r>
              <w:t>1.480</w:t>
            </w:r>
          </w:p>
        </w:tc>
      </w:tr>
      <w:tr>
        <w:tc>
          <w:tcPr>
            <w:tcW w:type="dxa" w:w="4320"/>
          </w:tcPr>
          <w:p>
            <w:r>
              <w:t>Mobiliar (1 Schrank Totalschaden, 2 Schreibtische gereinigt)</w:t>
            </w:r>
          </w:p>
        </w:tc>
        <w:tc>
          <w:tcPr>
            <w:tcW w:type="dxa" w:w="4320"/>
          </w:tcPr>
          <w:p>
            <w:r>
              <w:t>2.180</w:t>
            </w:r>
          </w:p>
        </w:tc>
      </w:tr>
      <w:tr>
        <w:tc>
          <w:tcPr>
            <w:tcW w:type="dxa" w:w="4320"/>
          </w:tcPr>
          <w:p>
            <w:r>
              <w:t>Gesamt</w:t>
            </w:r>
          </w:p>
        </w:tc>
        <w:tc>
          <w:tcPr>
            <w:tcW w:type="dxa" w:w="4320"/>
          </w:tcPr>
          <w:p>
            <w:r>
              <w:t>18.420</w:t>
            </w:r>
          </w:p>
        </w:tc>
      </w:tr>
    </w:tbl>
    <w:p>
      <w:pPr>
        <w:pStyle w:val="Heading3"/>
      </w:pPr>
      <w:r>
        <w:t>Bearbeitungsstand und Regulierung</w:t>
      </w:r>
    </w:p>
    <w:p>
      <w:r>
        <w:t>Schadensbesichtigung durch den Allianz-Sachverstaendigen am 14.09.2023. Regulierung in Hoehe von 16.420 EUR (Selbstbehalt 2.000 EUR) per Ueberweisung am 06.11.2023 eingegangen. Abschluss des Falles am 14.11.2023. Lessons-Learned wurden in das Versicherungskataster (Ordner 06) aufgenommen.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