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Versicherungsuebersicht Gesamt 2024 – Halbreiter Maschinenbau GmbH</w:t>
      </w:r>
    </w:p>
    <w:p>
      <w:pPr>
        <w:jc w:val="center"/>
      </w:pPr>
      <w:r>
        <w:t>Stand 1. Januar 2024</w:t>
      </w:r>
    </w:p>
    <w:p/>
    <w:p>
      <w:pPr>
        <w:pStyle w:val="Heading3"/>
      </w:pPr>
      <w:r>
        <w:t>Uebersicht</w:t>
      </w:r>
    </w:p>
    <w:p>
      <w:r>
        <w:t>Die Halbreiter Maschinenbau GmbH unterhaelt einen integrierten Versicherungsschutz, abgestimmt mit der HDI Risk Consulting GmbH und ueberprueft jaehrlich. Versicherungsmakler: HDI Global SE.</w:t>
      </w:r>
    </w:p>
    <w:p>
      <w:pPr>
        <w:pStyle w:val="Heading3"/>
      </w:pPr>
      <w:r>
        <w:t>Policen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Sparte</w:t>
            </w:r>
          </w:p>
        </w:tc>
        <w:tc>
          <w:tcPr>
            <w:tcW w:type="dxa" w:w="1440"/>
          </w:tcPr>
          <w:p>
            <w:r>
              <w:t>Versicherer</w:t>
            </w:r>
          </w:p>
        </w:tc>
        <w:tc>
          <w:tcPr>
            <w:tcW w:type="dxa" w:w="1440"/>
          </w:tcPr>
          <w:p>
            <w:r>
              <w:t>Versicherungssumme</w:t>
            </w:r>
          </w:p>
        </w:tc>
        <w:tc>
          <w:tcPr>
            <w:tcW w:type="dxa" w:w="1440"/>
          </w:tcPr>
          <w:p>
            <w:r>
              <w:t>Selbstbeteiligung</w:t>
            </w:r>
          </w:p>
        </w:tc>
        <w:tc>
          <w:tcPr>
            <w:tcW w:type="dxa" w:w="1440"/>
          </w:tcPr>
          <w:p>
            <w:r>
              <w:t>Praemie p. a. EUR</w:t>
            </w:r>
          </w:p>
        </w:tc>
        <w:tc>
          <w:tcPr>
            <w:tcW w:type="dxa" w:w="1440"/>
          </w:tcPr>
          <w:p>
            <w:r>
              <w:t>Police Nr.</w:t>
            </w:r>
          </w:p>
        </w:tc>
      </w:tr>
      <w:tr>
        <w:tc>
          <w:tcPr>
            <w:tcW w:type="dxa" w:w="1440"/>
          </w:tcPr>
          <w:p>
            <w:r>
              <w:t>Gebaeude (alle Liegenschaften)</w:t>
            </w:r>
          </w:p>
        </w:tc>
        <w:tc>
          <w:tcPr>
            <w:tcW w:type="dxa" w:w="1440"/>
          </w:tcPr>
          <w:p>
            <w:r>
              <w:t>Allianz SE</w:t>
            </w:r>
          </w:p>
        </w:tc>
        <w:tc>
          <w:tcPr>
            <w:tcW w:type="dxa" w:w="1440"/>
          </w:tcPr>
          <w:p>
            <w:r>
              <w:t>30,58 Mio.</w:t>
            </w:r>
          </w:p>
        </w:tc>
        <w:tc>
          <w:tcPr>
            <w:tcW w:type="dxa" w:w="1440"/>
          </w:tcPr>
          <w:p>
            <w:r>
              <w:t>5.000 EUR</w:t>
            </w:r>
          </w:p>
        </w:tc>
        <w:tc>
          <w:tcPr>
            <w:tcW w:type="dxa" w:w="1440"/>
          </w:tcPr>
          <w:p>
            <w:r>
              <w:t>69.400</w:t>
            </w:r>
          </w:p>
        </w:tc>
        <w:tc>
          <w:tcPr>
            <w:tcW w:type="dxa" w:w="1440"/>
          </w:tcPr>
          <w:p>
            <w:r>
              <w:t>BNR-MMB-2018-014</w:t>
            </w:r>
          </w:p>
        </w:tc>
      </w:tr>
      <w:tr>
        <w:tc>
          <w:tcPr>
            <w:tcW w:type="dxa" w:w="1440"/>
          </w:tcPr>
          <w:p>
            <w:r>
              <w:t>Maschinen / Elektronik</w:t>
            </w:r>
          </w:p>
        </w:tc>
        <w:tc>
          <w:tcPr>
            <w:tcW w:type="dxa" w:w="1440"/>
          </w:tcPr>
          <w:p>
            <w:r>
              <w:t>HDI Global SE</w:t>
            </w:r>
          </w:p>
        </w:tc>
        <w:tc>
          <w:tcPr>
            <w:tcW w:type="dxa" w:w="1440"/>
          </w:tcPr>
          <w:p>
            <w:r>
              <w:t>12,50 Mio.</w:t>
            </w:r>
          </w:p>
        </w:tc>
        <w:tc>
          <w:tcPr>
            <w:tcW w:type="dxa" w:w="1440"/>
          </w:tcPr>
          <w:p>
            <w:r>
              <w:t>10.000 EUR</w:t>
            </w:r>
          </w:p>
        </w:tc>
        <w:tc>
          <w:tcPr>
            <w:tcW w:type="dxa" w:w="1440"/>
          </w:tcPr>
          <w:p>
            <w:r>
              <w:t>32.800</w:t>
            </w:r>
          </w:p>
        </w:tc>
        <w:tc>
          <w:tcPr>
            <w:tcW w:type="dxa" w:w="1440"/>
          </w:tcPr>
          <w:p>
            <w:r>
              <w:t>HM-MMB-2019-022</w:t>
            </w:r>
          </w:p>
        </w:tc>
      </w:tr>
      <w:tr>
        <w:tc>
          <w:tcPr>
            <w:tcW w:type="dxa" w:w="1440"/>
          </w:tcPr>
          <w:p>
            <w:r>
              <w:t>Betriebshaftpflicht</w:t>
            </w:r>
          </w:p>
        </w:tc>
        <w:tc>
          <w:tcPr>
            <w:tcW w:type="dxa" w:w="1440"/>
          </w:tcPr>
          <w:p>
            <w:r>
              <w:t>Allianz SE</w:t>
            </w:r>
          </w:p>
        </w:tc>
        <w:tc>
          <w:tcPr>
            <w:tcW w:type="dxa" w:w="1440"/>
          </w:tcPr>
          <w:p>
            <w:r>
              <w:t>10,00 Mio.</w:t>
            </w:r>
          </w:p>
        </w:tc>
        <w:tc>
          <w:tcPr>
            <w:tcW w:type="dxa" w:w="1440"/>
          </w:tcPr>
          <w:p>
            <w:r>
              <w:t>1.500 EUR</w:t>
            </w:r>
          </w:p>
        </w:tc>
        <w:tc>
          <w:tcPr>
            <w:tcW w:type="dxa" w:w="1440"/>
          </w:tcPr>
          <w:p>
            <w:r>
              <w:t>18.200</w:t>
            </w:r>
          </w:p>
        </w:tc>
        <w:tc>
          <w:tcPr>
            <w:tcW w:type="dxa" w:w="1440"/>
          </w:tcPr>
          <w:p>
            <w:r>
              <w:t>BH-MMB-2019-018</w:t>
            </w:r>
          </w:p>
        </w:tc>
      </w:tr>
      <w:tr>
        <w:tc>
          <w:tcPr>
            <w:tcW w:type="dxa" w:w="1440"/>
          </w:tcPr>
          <w:p>
            <w:r>
              <w:t>Produkthaftpflicht</w:t>
            </w:r>
          </w:p>
        </w:tc>
        <w:tc>
          <w:tcPr>
            <w:tcW w:type="dxa" w:w="1440"/>
          </w:tcPr>
          <w:p>
            <w:r>
              <w:t>Allianz SE</w:t>
            </w:r>
          </w:p>
        </w:tc>
        <w:tc>
          <w:tcPr>
            <w:tcW w:type="dxa" w:w="1440"/>
          </w:tcPr>
          <w:p>
            <w:r>
              <w:t>15,00 Mio.</w:t>
            </w:r>
          </w:p>
        </w:tc>
        <w:tc>
          <w:tcPr>
            <w:tcW w:type="dxa" w:w="1440"/>
          </w:tcPr>
          <w:p>
            <w:r>
              <w:t>5.000 EUR</w:t>
            </w:r>
          </w:p>
        </w:tc>
        <w:tc>
          <w:tcPr>
            <w:tcW w:type="dxa" w:w="1440"/>
          </w:tcPr>
          <w:p>
            <w:r>
              <w:t>28.500</w:t>
            </w:r>
          </w:p>
        </w:tc>
        <w:tc>
          <w:tcPr>
            <w:tcW w:type="dxa" w:w="1440"/>
          </w:tcPr>
          <w:p>
            <w:r>
              <w:t>PH-MMB-2019-019</w:t>
            </w:r>
          </w:p>
        </w:tc>
      </w:tr>
      <w:tr>
        <w:tc>
          <w:tcPr>
            <w:tcW w:type="dxa" w:w="1440"/>
          </w:tcPr>
          <w:p>
            <w:r>
              <w:t>D&amp;O</w:t>
            </w:r>
          </w:p>
        </w:tc>
        <w:tc>
          <w:tcPr>
            <w:tcW w:type="dxa" w:w="1440"/>
          </w:tcPr>
          <w:p>
            <w:r>
              <w:t>Allianz SE</w:t>
            </w:r>
          </w:p>
        </w:tc>
        <w:tc>
          <w:tcPr>
            <w:tcW w:type="dxa" w:w="1440"/>
          </w:tcPr>
          <w:p>
            <w:r>
              <w:t>10,00 Mio.</w:t>
            </w:r>
          </w:p>
        </w:tc>
        <w:tc>
          <w:tcPr>
            <w:tcW w:type="dxa" w:w="1440"/>
          </w:tcPr>
          <w:p>
            <w:r>
              <w:t>10 % Schaden</w:t>
            </w:r>
          </w:p>
        </w:tc>
        <w:tc>
          <w:tcPr>
            <w:tcW w:type="dxa" w:w="1440"/>
          </w:tcPr>
          <w:p>
            <w:r>
              <w:t>12.400</w:t>
            </w:r>
          </w:p>
        </w:tc>
        <w:tc>
          <w:tcPr>
            <w:tcW w:type="dxa" w:w="1440"/>
          </w:tcPr>
          <w:p>
            <w:r>
              <w:t>DO-MMB-2017-008</w:t>
            </w:r>
          </w:p>
        </w:tc>
      </w:tr>
      <w:tr>
        <w:tc>
          <w:tcPr>
            <w:tcW w:type="dxa" w:w="1440"/>
          </w:tcPr>
          <w:p>
            <w:r>
              <w:t>Cyber-Versicherung</w:t>
            </w:r>
          </w:p>
        </w:tc>
        <w:tc>
          <w:tcPr>
            <w:tcW w:type="dxa" w:w="1440"/>
          </w:tcPr>
          <w:p>
            <w:r>
              <w:t>Hiscox AG</w:t>
            </w:r>
          </w:p>
        </w:tc>
        <w:tc>
          <w:tcPr>
            <w:tcW w:type="dxa" w:w="1440"/>
          </w:tcPr>
          <w:p>
            <w:r>
              <w:t>5,00 Mio. (erhoeht 2024)</w:t>
            </w:r>
          </w:p>
        </w:tc>
        <w:tc>
          <w:tcPr>
            <w:tcW w:type="dxa" w:w="1440"/>
          </w:tcPr>
          <w:p>
            <w:r>
              <w:t>25.000 EUR</w:t>
            </w:r>
          </w:p>
        </w:tc>
        <w:tc>
          <w:tcPr>
            <w:tcW w:type="dxa" w:w="1440"/>
          </w:tcPr>
          <w:p>
            <w:r>
              <w:t>32.800</w:t>
            </w:r>
          </w:p>
        </w:tc>
        <w:tc>
          <w:tcPr>
            <w:tcW w:type="dxa" w:w="1440"/>
          </w:tcPr>
          <w:p>
            <w:r>
              <w:t>CY-MMB-2022-014</w:t>
            </w:r>
          </w:p>
        </w:tc>
      </w:tr>
      <w:tr>
        <w:tc>
          <w:tcPr>
            <w:tcW w:type="dxa" w:w="1440"/>
          </w:tcPr>
          <w:p>
            <w:r>
              <w:t>Betriebsunterbrechung (BR)</w:t>
            </w:r>
          </w:p>
        </w:tc>
        <w:tc>
          <w:tcPr>
            <w:tcW w:type="dxa" w:w="1440"/>
          </w:tcPr>
          <w:p>
            <w:r>
              <w:t>Allianz SE</w:t>
            </w:r>
          </w:p>
        </w:tc>
        <w:tc>
          <w:tcPr>
            <w:tcW w:type="dxa" w:w="1440"/>
          </w:tcPr>
          <w:p>
            <w:r>
              <w:t>8 Monate / 12 Mio.</w:t>
            </w:r>
          </w:p>
        </w:tc>
        <w:tc>
          <w:tcPr>
            <w:tcW w:type="dxa" w:w="1440"/>
          </w:tcPr>
          <w:p>
            <w:r>
              <w:t>5 Werktage</w:t>
            </w:r>
          </w:p>
        </w:tc>
        <w:tc>
          <w:tcPr>
            <w:tcW w:type="dxa" w:w="1440"/>
          </w:tcPr>
          <w:p>
            <w:r>
              <w:t>42.000</w:t>
            </w:r>
          </w:p>
        </w:tc>
        <w:tc>
          <w:tcPr>
            <w:tcW w:type="dxa" w:w="1440"/>
          </w:tcPr>
          <w:p>
            <w:r>
              <w:t>BR-MMB-2018-015</w:t>
            </w:r>
          </w:p>
        </w:tc>
      </w:tr>
      <w:tr>
        <w:tc>
          <w:tcPr>
            <w:tcW w:type="dxa" w:w="1440"/>
          </w:tcPr>
          <w:p>
            <w:r>
              <w:t>Transport / Export</w:t>
            </w:r>
          </w:p>
        </w:tc>
        <w:tc>
          <w:tcPr>
            <w:tcW w:type="dxa" w:w="1440"/>
          </w:tcPr>
          <w:p>
            <w:r>
              <w:t>AXA Versicherung</w:t>
            </w:r>
          </w:p>
        </w:tc>
        <w:tc>
          <w:tcPr>
            <w:tcW w:type="dxa" w:w="1440"/>
          </w:tcPr>
          <w:p>
            <w:r>
              <w:t>1,00 Mio. pro Lieferung</w:t>
            </w:r>
          </w:p>
        </w:tc>
        <w:tc>
          <w:tcPr>
            <w:tcW w:type="dxa" w:w="1440"/>
          </w:tcPr>
          <w:p>
            <w:r>
              <w:t>n. v.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TR-MMB-2020-014</w:t>
            </w:r>
          </w:p>
        </w:tc>
      </w:tr>
      <w:tr>
        <w:tc>
          <w:tcPr>
            <w:tcW w:type="dxa" w:w="1440"/>
          </w:tcPr>
          <w:p>
            <w:r>
              <w:t>KFZ-Flotte (28 Fzg.)</w:t>
            </w:r>
          </w:p>
        </w:tc>
        <w:tc>
          <w:tcPr>
            <w:tcW w:type="dxa" w:w="1440"/>
          </w:tcPr>
          <w:p>
            <w:r>
              <w:t>Allianz SE</w:t>
            </w:r>
          </w:p>
        </w:tc>
        <w:tc>
          <w:tcPr>
            <w:tcW w:type="dxa" w:w="1440"/>
          </w:tcPr>
          <w:p>
            <w:r>
              <w:t>Vollkasko / Haftpflicht</w:t>
            </w:r>
          </w:p>
        </w:tc>
        <w:tc>
          <w:tcPr>
            <w:tcW w:type="dxa" w:w="1440"/>
          </w:tcPr>
          <w:p>
            <w:r>
              <w:t>500 EUR</w:t>
            </w:r>
          </w:p>
        </w:tc>
        <w:tc>
          <w:tcPr>
            <w:tcW w:type="dxa" w:w="1440"/>
          </w:tcPr>
          <w:p>
            <w:r>
              <w:t>32.200</w:t>
            </w:r>
          </w:p>
        </w:tc>
        <w:tc>
          <w:tcPr>
            <w:tcW w:type="dxa" w:w="1440"/>
          </w:tcPr>
          <w:p>
            <w:r>
              <w:t>KF-MMB-2018-011</w:t>
            </w:r>
          </w:p>
        </w:tc>
      </w:tr>
      <w:tr>
        <w:tc>
          <w:tcPr>
            <w:tcW w:type="dxa" w:w="1440"/>
          </w:tcPr>
          <w:p>
            <w:r>
              <w:t>Umwelt / Gewaesser</w:t>
            </w:r>
          </w:p>
        </w:tc>
        <w:tc>
          <w:tcPr>
            <w:tcW w:type="dxa" w:w="1440"/>
          </w:tcPr>
          <w:p>
            <w:r>
              <w:t>HDI Global SE</w:t>
            </w:r>
          </w:p>
        </w:tc>
        <w:tc>
          <w:tcPr>
            <w:tcW w:type="dxa" w:w="1440"/>
          </w:tcPr>
          <w:p>
            <w:r>
              <w:t>1,00 Mio.</w:t>
            </w:r>
          </w:p>
        </w:tc>
        <w:tc>
          <w:tcPr>
            <w:tcW w:type="dxa" w:w="1440"/>
          </w:tcPr>
          <w:p>
            <w:r>
              <w:t>12.500 EUR</w:t>
            </w:r>
          </w:p>
        </w:tc>
        <w:tc>
          <w:tcPr>
            <w:tcW w:type="dxa" w:w="1440"/>
          </w:tcPr>
          <w:p>
            <w:r>
              <w:t>8.400</w:t>
            </w:r>
          </w:p>
        </w:tc>
        <w:tc>
          <w:tcPr>
            <w:tcW w:type="dxa" w:w="1440"/>
          </w:tcPr>
          <w:p>
            <w:r>
              <w:t>UM-MMB-2020-018</w:t>
            </w:r>
          </w:p>
        </w:tc>
      </w:tr>
    </w:tbl>
    <w:p>
      <w:pPr>
        <w:pStyle w:val="Heading3"/>
      </w:pPr>
      <w:r>
        <w:t>Schadenshistorie</w:t>
      </w:r>
    </w:p>
    <w:p>
      <w:r>
        <w:t>Schadenquote 2023: 12,3 % bezogen auf Praemienvolumen (Vorjahr 14,8 %). Wesentliche Faelle: Maschinenschaden PL-300 (2022, abgewickelt; siehe VS_Schadensmeldung_2022); Wasserschaden Verwaltungsgebaeude (2023, abgewickelt; siehe VS_Schadensmeldung_2023).</w:t>
      </w:r>
    </w:p>
    <w:p>
      <w:pPr>
        <w:pStyle w:val="Heading3"/>
      </w:pPr>
      <w:r>
        <w:t>Verantwortlich</w:t>
      </w:r>
    </w:p>
    <w:p>
      <w:r>
        <w:t>CFO Sandra Becker; Operatives Versicherungsmanagement: Andrea Hoffmann.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