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Richtlinie Antikorruption und Zuwendungen</w:t>
      </w:r>
    </w:p>
    <w:p>
      <w:pPr>
        <w:jc w:val="center"/>
      </w:pPr>
      <w:r>
        <w:t>In Kraft ab 1. Januar 2024, freigegeben durch Geschaeftsfuehrung</w:t>
      </w:r>
    </w:p>
    <w:p/>
    <w:p>
      <w:pPr>
        <w:pStyle w:val="Heading3"/>
      </w:pPr>
      <w:r>
        <w:t>Geltungsbereich</w:t>
      </w:r>
    </w:p>
    <w:p>
      <w:r>
        <w:t>Diese Richtlinie gilt fuer alle Beschaeftigten, Geschaeftsfuehrungsmitglieder, Praktikanten:innen, Werkstudierenden und Leihkraefte der Halbreiter Maschinenbau GmbH sowie fuer alle Tochter- oder Beteiligungsgesellschaften. Sie ist auch von Dienstleistern und Lieferanten zu beachten, soweit sie in den Geschaeftsraeumen oder im Auftrag der Gesellschaft taetig sind.</w:t>
      </w:r>
    </w:p>
    <w:p>
      <w:pPr>
        <w:pStyle w:val="Heading3"/>
      </w:pPr>
      <w:r>
        <w:t>Schwerpunkte und Regelungen</w:t>
      </w:r>
    </w:p>
    <w:p>
      <w:pPr>
        <w:pStyle w:val="ListBullet"/>
      </w:pPr>
      <w:r>
        <w:t>Verbot der aktiven und passiven Bestechung im Privat- und Behoerdenverkehr (§§ 299, 332, 333, 334 StGB).</w:t>
      </w:r>
    </w:p>
    <w:p>
      <w:pPr>
        <w:pStyle w:val="ListBullet"/>
      </w:pPr>
      <w:r>
        <w:t>Geschenke / Einladungen bis 50 EUR ohne Anzeige zulaessig; &gt; 50 EUR: vorherige Genehmigung durch unmittelbare Fuehrungskraft + Vermerk im Compliance-Register.</w:t>
      </w:r>
    </w:p>
    <w:p>
      <w:pPr>
        <w:pStyle w:val="ListBullet"/>
      </w:pPr>
      <w:r>
        <w:t>Spenden / Sponsoring: nur an gemeinnuetzige Organisationen, in Schriftform, vom CFO freigegeben.</w:t>
      </w:r>
    </w:p>
    <w:p>
      <w:pPr>
        <w:pStyle w:val="ListBullet"/>
      </w:pPr>
      <w:r>
        <w:t>Politische Parteispenden ausgeschlossen.</w:t>
      </w:r>
    </w:p>
    <w:p>
      <w:pPr>
        <w:pStyle w:val="ListBullet"/>
      </w:pPr>
      <w:r>
        <w:t>Verbot von Facilitation Payments (FCPA / UKBA i.V.m. § 334 StGB analog).</w:t>
      </w:r>
    </w:p>
    <w:p>
      <w:pPr>
        <w:pStyle w:val="ListBullet"/>
      </w:pPr>
      <w:r>
        <w:t>Sonderpruefung bei Vertretern, Beratern und Vermittlern im Ausland (Mexiko, China) ueber ComplyCube-Due-Diligence-Tool.</w:t>
      </w:r>
    </w:p>
    <w:p>
      <w:pPr>
        <w:pStyle w:val="ListBullet"/>
      </w:pPr>
      <w:r>
        <w:t>Schulung jaehrlich Pflicht (alle Mitarbeitenden); CEO/CFO und Vertrieb mit Verstaerkung (Praesenz).</w:t>
      </w:r>
    </w:p>
    <w:p>
      <w:pPr>
        <w:pStyle w:val="Heading3"/>
      </w:pPr>
      <w:r>
        <w:t>Schulung und Einhaltung</w:t>
      </w:r>
    </w:p>
    <w:p>
      <w:r>
        <w:t>Alle Mitarbeitenden werden jaehrlich verpflichtend zu dieser Richtlinie geschult (e-Learning, Dauer ca. 25 Min.) und bestaetigen die Kenntnisnahme per Klick. Verstoesse koennen arbeitsrechtliche Folgen bis hin zur ausserordentlichen Kuendigung haben sowie zu strafrechtlichen Konsequenzen fuehren.</w:t>
      </w:r>
    </w:p>
    <w:p>
      <w:pPr>
        <w:pStyle w:val="Heading3"/>
      </w:pPr>
      <w:r>
        <w:t>Hinweisgebersystem</w:t>
      </w:r>
    </w:p>
    <w:p>
      <w:r>
        <w:t>Hinweise auf moegliche Verstoesse koennen ueber das vertrauliche Hinweisgebersystem »SPEAK-UP@MMB« (gehostet durch EQS Group AG) anonym oder offen erfolgen. Telefon-Hotline: +49 800 999 22 11 (24/7). Eine Repression gegen meldende Personen ist ausgeschlossen (siehe HinSchG).</w:t>
      </w:r>
    </w:p>
    <w:p>
      <w:pPr>
        <w:pStyle w:val="Heading3"/>
      </w:pPr>
      <w:r>
        <w:t>Verantwortlich</w:t>
      </w:r>
    </w:p>
    <w:p>
      <w:r>
        <w:t>Inhaltlich verantwortlich: Compliance Officer (CO) Frau Andrea Hoffmann, in Abstimmung mit der externen Anwaltskanzlei Heuking Kuehn. Diese Richtlinie wird mindestens alle 24 Monate ueberprueft und bei Bedarf aktualisiert.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