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Richtlinie Exportkontrolle und Sanktionen</w:t>
      </w:r>
    </w:p>
    <w:p>
      <w:pPr>
        <w:jc w:val="center"/>
      </w:pPr>
      <w:r>
        <w:t>In Kraft ab 1. April 2023, freigegeben durch Geschaeftsfuehrung</w:t>
      </w:r>
    </w:p>
    <w:p/>
    <w:p>
      <w:pPr>
        <w:pStyle w:val="Heading3"/>
      </w:pPr>
      <w:r>
        <w:t>Geltungsbereich</w:t>
      </w:r>
    </w:p>
    <w:p>
      <w:r>
        <w:t>Diese Richtlinie gilt fuer alle Beschaeftigten, Geschaeftsfuehrungsmitglieder, Praktikanten:innen, Werkstudierenden und Leihkraefte der Halbreiter Maschinenbau GmbH sowie fuer alle Tochter- oder Beteiligungsgesellschaften. Sie ist auch von Dienstleistern und Lieferanten zu beachten, soweit sie in den Geschaeftsraeumen oder im Auftrag der Gesellschaft taetig sind.</w:t>
      </w:r>
    </w:p>
    <w:p>
      <w:pPr>
        <w:pStyle w:val="Heading3"/>
      </w:pPr>
      <w:r>
        <w:t>Schwerpunkte und Regelungen</w:t>
      </w:r>
    </w:p>
    <w:p>
      <w:pPr>
        <w:pStyle w:val="ListBullet"/>
      </w:pPr>
      <w:r>
        <w:t>Pruefung der Lieferungen anhand der Dual-Use-Verordnung (EU) 2021/821 sowie nationaler Aussenwirtschaftsverordnung (AWV).</w:t>
      </w:r>
    </w:p>
    <w:p>
      <w:pPr>
        <w:pStyle w:val="ListBullet"/>
      </w:pPr>
      <w:r>
        <w:t>Sanktionspruefung saemtlicher Geschaeftspartner vor Vertragsabschluss (ComplyCube, Eu/UN/US/UK-Listen).</w:t>
      </w:r>
    </w:p>
    <w:p>
      <w:pPr>
        <w:pStyle w:val="ListBullet"/>
      </w:pPr>
      <w:r>
        <w:t>Genehmigungspflichtige Lieferungen (BAFA) werden in der Exportkontroll-Datenbank verfolgt; Antraege werden 8 Wochen vor Lieferung gestellt.</w:t>
      </w:r>
    </w:p>
    <w:p>
      <w:pPr>
        <w:pStyle w:val="ListBullet"/>
      </w:pPr>
      <w:r>
        <w:t>Verantwortlicher Ausfuhrbeauftragter: Stefan Braun (mit Stellvertretung Markus Helmer).</w:t>
      </w:r>
    </w:p>
    <w:p>
      <w:pPr>
        <w:pStyle w:val="ListBullet"/>
      </w:pPr>
      <w:r>
        <w:t>Schulungspflicht aller Mitarbeitenden im Bereich Vertrieb / Einkauf / Service mit Auslandsbezug (alle 24 Monate Pflichtschulung).</w:t>
      </w:r>
    </w:p>
    <w:p>
      <w:pPr>
        <w:pStyle w:val="ListBullet"/>
      </w:pPr>
      <w:r>
        <w:t>Sondervorgaben fuer Hochrisikolaender (Belarus, Russland, Iran, Nordkorea): alle Lieferungen Geschaeftsfuehrungsfreigabe.</w:t>
      </w:r>
    </w:p>
    <w:p>
      <w:pPr>
        <w:pStyle w:val="Heading3"/>
      </w:pPr>
      <w:r>
        <w:t>Schulung und Einhaltung</w:t>
      </w:r>
    </w:p>
    <w:p>
      <w:r>
        <w:t>Alle Mitarbeitenden werden jaehrlich verpflichtend zu dieser Richtlinie geschult (e-Learning, Dauer ca. 25 Min.) und bestaetigen die Kenntnisnahme per Klick. Verstoesse koennen arbeitsrechtliche Folgen bis hin zur ausserordentlichen Kuendigung haben sowie zu strafrechtlichen Konsequenzen fuehren.</w:t>
      </w:r>
    </w:p>
    <w:p>
      <w:pPr>
        <w:pStyle w:val="Heading3"/>
      </w:pPr>
      <w:r>
        <w:t>Hinweisgebersystem</w:t>
      </w:r>
    </w:p>
    <w:p>
      <w:r>
        <w:t>Hinweise auf moegliche Verstoesse koennen ueber das vertrauliche Hinweisgebersystem »SPEAK-UP@MMB« (gehostet durch EQS Group AG) anonym oder offen erfolgen. Telefon-Hotline: +49 800 999 22 11 (24/7). Eine Repression gegen meldende Personen ist ausgeschlossen (siehe HinSchG).</w:t>
      </w:r>
    </w:p>
    <w:p>
      <w:pPr>
        <w:pStyle w:val="Heading3"/>
      </w:pPr>
      <w:r>
        <w:t>Verantwortlich</w:t>
      </w:r>
    </w:p>
    <w:p>
      <w:r>
        <w:t>Inhaltlich verantwortlich: Ausfuhrbeauftragter Stefan Braun. Diese Richtlinie wird mindestens alle 24 Monate ueberprueft und bei Bedarf aktualisiert.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