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Richtlinie Informationssicherheit (ISMS)</w:t>
      </w:r>
    </w:p>
    <w:p>
      <w:pPr>
        <w:jc w:val="center"/>
      </w:pPr>
      <w:r>
        <w:t>In Kraft ab 1. Juli 2022, freigegeben durch Geschaeftsfuehrung</w:t>
      </w:r>
    </w:p>
    <w:p/>
    <w:p>
      <w:pPr>
        <w:pStyle w:val="Heading3"/>
      </w:pPr>
      <w:r>
        <w:t>Geltungsbereich</w:t>
      </w:r>
    </w:p>
    <w:p>
      <w:r>
        <w:t>Diese Richtlinie gilt fuer alle Beschaeftigten, Geschaeftsfuehrungsmitglieder, Praktikanten:innen, Werkstudierenden und Leihkraefte der Halbreiter Maschinenbau GmbH sowie fuer alle Tochter- oder Beteiligungsgesellschaften. Sie ist auch von Dienstleistern und Lieferanten zu beachten, soweit sie in den Geschaeftsraeumen oder im Auftrag der Gesellschaft taetig sind.</w:t>
      </w:r>
    </w:p>
    <w:p>
      <w:pPr>
        <w:pStyle w:val="Heading3"/>
      </w:pPr>
      <w:r>
        <w:t>Schwerpunkte und Regelungen</w:t>
      </w:r>
    </w:p>
    <w:p>
      <w:pPr>
        <w:pStyle w:val="ListBullet"/>
      </w:pPr>
      <w:r>
        <w:t>ISMS strukturiert nach BSI IT-Grundschutz, Kompatibilitaet TISAX-Anforderungen.</w:t>
      </w:r>
    </w:p>
    <w:p>
      <w:pPr>
        <w:pStyle w:val="ListBullet"/>
      </w:pPr>
      <w:r>
        <w:t>Klassifizierung Informationen in vier Stufen: oeffentlich / intern / vertraulich / streng vertraulich.</w:t>
      </w:r>
    </w:p>
    <w:p>
      <w:pPr>
        <w:pStyle w:val="ListBullet"/>
      </w:pPr>
      <w:r>
        <w:t>Passwort-Richtlinie: mind. 14 Zeichen, MFA-Pflicht bei Cloud-Diensten, Passwort-Manager (Bitwarden).</w:t>
      </w:r>
    </w:p>
    <w:p>
      <w:pPr>
        <w:pStyle w:val="ListBullet"/>
      </w:pPr>
      <w:r>
        <w:t>Mobile Endgeraete: MDM (Microsoft Intune), Festplattenverschluesselung (BitLocker), Remote-Wipe.</w:t>
      </w:r>
    </w:p>
    <w:p>
      <w:pPr>
        <w:pStyle w:val="ListBullet"/>
      </w:pPr>
      <w:r>
        <w:t>Vorgang bei IT-Sicherheitsvorfall: Meldung Hotline +49 221 47832-911 binnen 1 Std., Triage durch SOC-as-a-Service (Sopra Steria).</w:t>
      </w:r>
    </w:p>
    <w:p>
      <w:pPr>
        <w:pStyle w:val="ListBullet"/>
      </w:pPr>
      <w:r>
        <w:t>Datentraegervernichtung gemaess DIN 66399 Sicherheitsstufe 3.</w:t>
      </w:r>
    </w:p>
    <w:p>
      <w:pPr>
        <w:pStyle w:val="ListBullet"/>
      </w:pPr>
      <w:r>
        <w:t>Externe Penetrationstests jaehrlich (siehe IT_Penetrationstest-Bericht_2023).</w:t>
      </w:r>
    </w:p>
    <w:p>
      <w:pPr>
        <w:pStyle w:val="Heading3"/>
      </w:pPr>
      <w:r>
        <w:t>Schulung und Einhaltung</w:t>
      </w:r>
    </w:p>
    <w:p>
      <w:r>
        <w:t>Alle Mitarbeitenden werden jaehrlich verpflichtend zu dieser Richtlinie geschult (e-Learning, Dauer ca. 25 Min.) und bestaetigen die Kenntnisnahme per Klick. Verstoesse koennen arbeitsrechtliche Folgen bis hin zur ausserordentlichen Kuendigung haben sowie zu strafrechtlichen Konsequenzen fuehren.</w:t>
      </w:r>
    </w:p>
    <w:p>
      <w:pPr>
        <w:pStyle w:val="Heading3"/>
      </w:pPr>
      <w:r>
        <w:t>Hinweisgebersystem</w:t>
      </w:r>
    </w:p>
    <w:p>
      <w:r>
        <w:t>Hinweise auf moegliche Verstoesse koennen ueber das vertrauliche Hinweisgebersystem »SPEAK-UP@MMB« (gehostet durch EQS Group AG) anonym oder offen erfolgen. Telefon-Hotline: +49 800 999 22 11 (24/7). Eine Repression gegen meldende Personen ist ausgeschlossen (siehe HinSchG).</w:t>
      </w:r>
    </w:p>
    <w:p>
      <w:pPr>
        <w:pStyle w:val="Heading3"/>
      </w:pPr>
      <w:r>
        <w:t>Verantwortlich</w:t>
      </w:r>
    </w:p>
    <w:p>
      <w:r>
        <w:t>Inhaltlich verantwortlich: IT-Leitung MMB (Markus Helmer) und externer Informationssicherheitsbeauftragter ISB. Diese Richtlinie wird mindestens alle 24 Monate ueberprueft und bei Bedarf aktualisiert.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