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Protokoll Antikorruptionsschulung 2023</w:t>
      </w:r>
    </w:p>
    <w:p/>
    <w:p>
      <w:pPr>
        <w:pStyle w:val="Heading3"/>
      </w:pPr>
      <w:r>
        <w:t>Zweck und Geltungsbereich</w:t>
      </w:r>
    </w:p>
    <w:p>
      <w:r>
        <w:t>Im Berichtsjahr 2023 wurde fuer alle gefaehrdeten Funktionen der Halbreiter Maschinenbau GmbH (Einkauf, Vertrieb, Geschaeftsfuehrung, Service) eine Pflichtschulung zur Antikorruption durchgefuehrt. Grundlage ist die Richtlinie »Antikorruption und Zuwendungen« (COMP_004, Rev. 2) sowie der UK Bribery Act / deutsche §§ 299 ff. StGB.</w:t>
      </w:r>
    </w:p>
    <w:p>
      <w:pPr>
        <w:pStyle w:val="Heading3"/>
      </w:pPr>
      <w:r>
        <w:t>Schulungsumfang</w:t>
      </w:r>
    </w:p>
    <w:p>
      <w:pPr>
        <w:pStyle w:val="ListBullet"/>
      </w:pPr>
      <w:r>
        <w:t>Webbasiertes Training (eLearning, 90 min) ueber Plattform Lawpilots.</w:t>
      </w:r>
    </w:p>
    <w:p>
      <w:pPr>
        <w:pStyle w:val="ListBullet"/>
      </w:pPr>
      <w:r>
        <w:t>Praesenz-Workshop fuer Einkaufsleitung und Vertriebsleitung (4 h) am 18.05.2023.</w:t>
      </w:r>
    </w:p>
    <w:p>
      <w:pPr>
        <w:pStyle w:val="ListBullet"/>
      </w:pPr>
      <w:r>
        <w:t>Wissens-Check (15 Fragen, Mindestbestehen 80 %).</w:t>
      </w:r>
    </w:p>
    <w:p>
      <w:pPr>
        <w:pStyle w:val="Heading3"/>
      </w:pPr>
      <w:r>
        <w:t>Teilnahmestatistik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Pflichtige</w:t>
            </w:r>
          </w:p>
        </w:tc>
        <w:tc>
          <w:tcPr>
            <w:tcW w:type="dxa" w:w="2160"/>
          </w:tcPr>
          <w:p>
            <w:r>
              <w:t>Absolviert</w:t>
            </w:r>
          </w:p>
        </w:tc>
        <w:tc>
          <w:tcPr>
            <w:tcW w:type="dxa" w:w="2160"/>
          </w:tcPr>
          <w:p>
            <w:r>
              <w:t>Quote</w:t>
            </w:r>
          </w:p>
        </w:tc>
      </w:tr>
      <w:tr>
        <w:tc>
          <w:tcPr>
            <w:tcW w:type="dxa" w:w="2160"/>
          </w:tcPr>
          <w:p>
            <w:r>
              <w:t>Einkauf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</w:tr>
      <w:tr>
        <w:tc>
          <w:tcPr>
            <w:tcW w:type="dxa" w:w="2160"/>
          </w:tcPr>
          <w:p>
            <w:r>
              <w:t>Vertrieb DACH/Int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</w:tr>
      <w:tr>
        <w:tc>
          <w:tcPr>
            <w:tcW w:type="dxa" w:w="2160"/>
          </w:tcPr>
          <w:p>
            <w:r>
              <w:t>Service / Field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97 %</w:t>
            </w:r>
          </w:p>
        </w:tc>
      </w:tr>
      <w:tr>
        <w:tc>
          <w:tcPr>
            <w:tcW w:type="dxa" w:w="2160"/>
          </w:tcPr>
          <w:p>
            <w:r>
              <w:t>Geschaeftsfuehrung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</w:tr>
      <w:tr>
        <w:tc>
          <w:tcPr>
            <w:tcW w:type="dxa" w:w="2160"/>
          </w:tcPr>
          <w:p>
            <w:r>
              <w:t>Compliance/Recht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</w:tr>
      <w:tr>
        <w:tc>
          <w:tcPr>
            <w:tcW w:type="dxa" w:w="2160"/>
          </w:tcPr>
          <w:p>
            <w:r>
              <w:t>Gesamt</w:t>
            </w:r>
          </w:p>
        </w:tc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99 %</w:t>
            </w:r>
          </w:p>
        </w:tc>
      </w:tr>
    </w:tbl>
    <w:p>
      <w:pPr>
        <w:pStyle w:val="Heading3"/>
      </w:pPr>
      <w:r>
        <w:t>Massnahmen bei Nichtabsolvierung</w:t>
      </w:r>
    </w:p>
    <w:p>
      <w:r>
        <w:t>Ein Service-Mitarbeiter (laenger erkrankt) wird das Training nach Genesung in Q1/2024 nachholen. Personalabteilung verfolgt offene Faelle. Wiederholungsfrequenz: alle 24 Monate, ggf. bei Funktionswechsel sofort.</w:t>
      </w:r>
    </w:p>
    <w:p>
      <w:pPr>
        <w:pStyle w:val="Heading3"/>
      </w:pPr>
      <w:r>
        <w:t>Freigabe</w:t>
      </w:r>
    </w:p>
    <w:p>
      <w:r>
        <w:t>Schulungsdurchfuehrung dokumentiert durch HR-Leitung (Frau Petra Hartmann). Geschaeftsfuehrungs-freigabe durch Sandra Becker (CFO) am 10.12.2023.</w:t>
      </w:r>
    </w:p>
    <w:p>
      <w:pPr>
        <w:pStyle w:val="Heading3"/>
      </w:pPr>
      <w:r>
        <w:t>Dokumentstatus und Pflege</w:t>
      </w:r>
    </w:p>
    <w:p>
      <w:r>
        <w:t>Klassifizierung: »intern – vertraulich«. Dieses Dokument ist Bestandteil des Compliance-Management-Systems (CMS) der Halbreiter Maschinenbau GmbH gemaess der Verfahrensanweisung VA-COMP-001 (Rev. 4). Verantwortlich fuer die Pflege ist Anja Lenz (Compliance-Stelle) in Abstimmung mit Sandra Becker (CFO). Eine Aktualisierung erfolgt mindestens jaehrlich sowie anlassbezogen bei wesentlichen Aenderungen der Rechtslage, der Organisation oder der Geschaeftsprozesse. Verteiler: Geschaeftsfuehrung, Bereichsleiter Compliance, Bereichsleiter QM, Betriebsrat. Archivierung erfolgt revisionssicher im DMS (M-Files) gemaess Aufbewahrungsfristenkatalog der Halbreiter Maschinenbau GmbH (Standardfrist 10 Jahre, soweit nicht laenger gesetzlich vorgeschrieben). Bei Fragen zu Inhalt oder Anwendbarkeit dieses Dokumentes wenden Sie sich an compliance@halbreiter-maschinenbau.de oder an die zustaendige Bereichsleitung.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