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Kommunikation mit Aufsichtsbehoerden 2023</w:t>
      </w:r>
    </w:p>
    <w:p/>
    <w:p>
      <w:pPr>
        <w:pStyle w:val="Heading3"/>
      </w:pPr>
      <w:r>
        <w:t>Zweck und Geltungsbereich</w:t>
      </w:r>
    </w:p>
    <w:p>
      <w:r>
        <w:t>Diese Uebersicht dokumentiert alle wesentlichen Kontakte und Korrespondenzen zwischen der Halbreiter Maschinenbau GmbH und externen Aufsichtsbehoerden im Berichtsjahr 2023 (DSGVO, Umwelt, Arbeitsschutz, Zoll, Marktueberwachung).</w:t>
      </w:r>
    </w:p>
    <w:p>
      <w:pPr>
        <w:pStyle w:val="Heading3"/>
      </w:pPr>
      <w:r>
        <w:t>Uebersicht der Kontakte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Behoerde</w:t>
            </w:r>
          </w:p>
        </w:tc>
        <w:tc>
          <w:tcPr>
            <w:tcW w:type="dxa" w:w="2160"/>
          </w:tcPr>
          <w:p>
            <w:r>
              <w:t>Anlass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LDI NRW</w:t>
            </w:r>
          </w:p>
        </w:tc>
        <w:tc>
          <w:tcPr>
            <w:tcW w:type="dxa" w:w="2160"/>
          </w:tcPr>
          <w:p>
            <w:r>
              <w:t>Routine-Anfrage Datenschutz (CRM)</w:t>
            </w:r>
          </w:p>
        </w:tc>
        <w:tc>
          <w:tcPr>
            <w:tcW w:type="dxa" w:w="2160"/>
          </w:tcPr>
          <w:p>
            <w:r>
              <w:t>14.03.2023</w:t>
            </w:r>
          </w:p>
        </w:tc>
        <w:tc>
          <w:tcPr>
            <w:tcW w:type="dxa" w:w="2160"/>
          </w:tcPr>
          <w:p>
            <w:r>
              <w:t>Beantwortet, keine Beanstandung</w:t>
            </w:r>
          </w:p>
        </w:tc>
      </w:tr>
      <w:tr>
        <w:tc>
          <w:tcPr>
            <w:tcW w:type="dxa" w:w="2160"/>
          </w:tcPr>
          <w:p>
            <w:r>
              <w:t>BG Holz und Metall</w:t>
            </w:r>
          </w:p>
        </w:tc>
        <w:tc>
          <w:tcPr>
            <w:tcW w:type="dxa" w:w="2160"/>
          </w:tcPr>
          <w:p>
            <w:r>
              <w:t>Betriebsbegehung</w:t>
            </w:r>
          </w:p>
        </w:tc>
        <w:tc>
          <w:tcPr>
            <w:tcW w:type="dxa" w:w="2160"/>
          </w:tcPr>
          <w:p>
            <w:r>
              <w:t>22.05.2023</w:t>
            </w:r>
          </w:p>
        </w:tc>
        <w:tc>
          <w:tcPr>
            <w:tcW w:type="dxa" w:w="2160"/>
          </w:tcPr>
          <w:p>
            <w:r>
              <w:t>2 Hinweise, Massnahmen Q3 erledigt</w:t>
            </w:r>
          </w:p>
        </w:tc>
      </w:tr>
      <w:tr>
        <w:tc>
          <w:tcPr>
            <w:tcW w:type="dxa" w:w="2160"/>
          </w:tcPr>
          <w:p>
            <w:r>
              <w:t>BAFA</w:t>
            </w:r>
          </w:p>
        </w:tc>
        <w:tc>
          <w:tcPr>
            <w:tcW w:type="dxa" w:w="2160"/>
          </w:tcPr>
          <w:p>
            <w:r>
              <w:t>Ausfuhrgenehmigung CN, ECCN 2B999</w:t>
            </w:r>
          </w:p>
        </w:tc>
        <w:tc>
          <w:tcPr>
            <w:tcW w:type="dxa" w:w="2160"/>
          </w:tcPr>
          <w:p>
            <w:r>
              <w:t>12.07.2023</w:t>
            </w:r>
          </w:p>
        </w:tc>
        <w:tc>
          <w:tcPr>
            <w:tcW w:type="dxa" w:w="2160"/>
          </w:tcPr>
          <w:p>
            <w:r>
              <w:t>Genehmigung erteilt</w:t>
            </w:r>
          </w:p>
        </w:tc>
      </w:tr>
      <w:tr>
        <w:tc>
          <w:tcPr>
            <w:tcW w:type="dxa" w:w="2160"/>
          </w:tcPr>
          <w:p>
            <w:r>
              <w:t>StU Koeln (Umwelt)</w:t>
            </w:r>
          </w:p>
        </w:tc>
        <w:tc>
          <w:tcPr>
            <w:tcW w:type="dxa" w:w="2160"/>
          </w:tcPr>
          <w:p>
            <w:r>
              <w:t>Pruefung Indirekteinleiter</w:t>
            </w:r>
          </w:p>
        </w:tc>
        <w:tc>
          <w:tcPr>
            <w:tcW w:type="dxa" w:w="2160"/>
          </w:tcPr>
          <w:p>
            <w:r>
              <w:t>08.09.2023</w:t>
            </w:r>
          </w:p>
        </w:tc>
        <w:tc>
          <w:tcPr>
            <w:tcW w:type="dxa" w:w="2160"/>
          </w:tcPr>
          <w:p>
            <w:r>
              <w:t>Ohne Beanstandung</w:t>
            </w:r>
          </w:p>
        </w:tc>
      </w:tr>
      <w:tr>
        <w:tc>
          <w:tcPr>
            <w:tcW w:type="dxa" w:w="2160"/>
          </w:tcPr>
          <w:p>
            <w:r>
              <w:t>Hauptzollamt Koeln</w:t>
            </w:r>
          </w:p>
        </w:tc>
        <w:tc>
          <w:tcPr>
            <w:tcW w:type="dxa" w:w="2160"/>
          </w:tcPr>
          <w:p>
            <w:r>
              <w:t>Routine-Pruefung AEO-Status</w:t>
            </w:r>
          </w:p>
        </w:tc>
        <w:tc>
          <w:tcPr>
            <w:tcW w:type="dxa" w:w="2160"/>
          </w:tcPr>
          <w:p>
            <w:r>
              <w:t>14.11.2023</w:t>
            </w:r>
          </w:p>
        </w:tc>
        <w:tc>
          <w:tcPr>
            <w:tcW w:type="dxa" w:w="2160"/>
          </w:tcPr>
          <w:p>
            <w:r>
              <w:t>AEO-F bestaetigt</w:t>
            </w:r>
          </w:p>
        </w:tc>
      </w:tr>
      <w:tr>
        <w:tc>
          <w:tcPr>
            <w:tcW w:type="dxa" w:w="2160"/>
          </w:tcPr>
          <w:p>
            <w:r>
              <w:t>Gewerbeaufsicht</w:t>
            </w:r>
          </w:p>
        </w:tc>
        <w:tc>
          <w:tcPr>
            <w:tcW w:type="dxa" w:w="2160"/>
          </w:tcPr>
          <w:p>
            <w:r>
              <w:t>Anhoerung Hallenanbau (Bauantrag)</w:t>
            </w:r>
          </w:p>
        </w:tc>
        <w:tc>
          <w:tcPr>
            <w:tcW w:type="dxa" w:w="2160"/>
          </w:tcPr>
          <w:p>
            <w:r>
              <w:t>26.02.2024</w:t>
            </w:r>
          </w:p>
        </w:tc>
        <w:tc>
          <w:tcPr>
            <w:tcW w:type="dxa" w:w="2160"/>
          </w:tcPr>
          <w:p>
            <w:r>
              <w:t>Stellungnahme positiv</w:t>
            </w:r>
          </w:p>
        </w:tc>
      </w:tr>
    </w:tbl>
    <w:p>
      <w:pPr>
        <w:pStyle w:val="Heading3"/>
      </w:pPr>
      <w:r>
        <w:t>Bearbeitungsprozess</w:t>
      </w:r>
    </w:p>
    <w:p>
      <w:r>
        <w:t>Anfragen werden zentral durch die Compliance-Stelle (Frau Anja Lenz) entgegengenommen, dokumentiert und an die zustaendigen Bereichsleiter weitergeleitet. Antworten werden vor Versand durch Sandra Becker (CFO) gegengezeichnet.</w:t>
      </w:r>
    </w:p>
    <w:p>
      <w:pPr>
        <w:pStyle w:val="Heading3"/>
      </w:pPr>
      <w:r>
        <w:t>Kennzahlen 2023</w:t>
      </w:r>
    </w:p>
    <w:p>
      <w:pPr>
        <w:pStyle w:val="ListBullet"/>
      </w:pPr>
      <w:r>
        <w:t>6 Vorgaenge insgesamt (Vorjahr: 4).</w:t>
      </w:r>
    </w:p>
    <w:p>
      <w:pPr>
        <w:pStyle w:val="ListBullet"/>
      </w:pPr>
      <w:r>
        <w:t>Durchschnittliche Reaktionszeit: 3,2 Werktage.</w:t>
      </w:r>
    </w:p>
    <w:p>
      <w:pPr>
        <w:pStyle w:val="ListBullet"/>
      </w:pPr>
      <w:r>
        <w:t>Keine Sanktionen, keine offenen Mahnungen.</w:t>
      </w:r>
    </w:p>
    <w:p>
      <w:pPr>
        <w:pStyle w:val="ListBullet"/>
      </w:pPr>
      <w:r>
        <w:t>1 Folgeauflage (BG): vollstaendig erledigt.</w:t>
      </w:r>
    </w:p>
    <w:p>
      <w:pPr>
        <w:pStyle w:val="Heading3"/>
      </w:pPr>
      <w:r>
        <w:t>Schlussfolgerung</w:t>
      </w:r>
    </w:p>
    <w:p>
      <w:r>
        <w:t>Die Compliance-Stelle bewertet das Niveau der behoerdlichen Interaktion als unauffaellig. Eine Eskalation oder behoerdliche Massnahme war im Berichtsjahr nicht erforderlich.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