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CO2-Bilanz 2023 (Corporate Carbon Footprint)</w:t>
      </w:r>
    </w:p>
    <w:p/>
    <w:p>
      <w:pPr>
        <w:pStyle w:val="Heading3"/>
      </w:pPr>
      <w:r>
        <w:t>Zweck und Geltungsbereich</w:t>
      </w:r>
    </w:p>
    <w:p>
      <w:r>
        <w:t>Die CO2-Bilanz (Corporate Carbon Footprint, CCF) der Halbreiter Maschinenbau GmbH wurde fuer das Geschaeftsjahr 2023 erstmals nach GHG-Protocol Corporate Standard und ISO 14064-1 ermittelt. Berichtsgrenzen: operativ kontrollierter Ansatz, Standort Koeln (inkl. Aussenlager Niehler Strasse).</w:t>
      </w:r>
    </w:p>
    <w:p>
      <w:pPr>
        <w:pStyle w:val="Heading3"/>
      </w:pPr>
      <w:r>
        <w:t>Scope-Ergebnisse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Quelle</w:t>
            </w:r>
          </w:p>
        </w:tc>
        <w:tc>
          <w:tcPr>
            <w:tcW w:type="dxa" w:w="2880"/>
          </w:tcPr>
          <w:p>
            <w:r>
              <w:t>Emission t CO2eq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Erdgas (Heizung, Prozesse)</w:t>
            </w:r>
          </w:p>
        </w:tc>
        <w:tc>
          <w:tcPr>
            <w:tcW w:type="dxa" w:w="2880"/>
          </w:tcPr>
          <w:p>
            <w:r>
              <w:t>186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Dieselverbrauch Stapler/Fuhrpark Werk</w:t>
            </w:r>
          </w:p>
        </w:tc>
        <w:tc>
          <w:tcPr>
            <w:tcW w:type="dxa" w:w="2880"/>
          </w:tcPr>
          <w:p>
            <w:r>
              <w:t xml:space="preserve"> 24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Kuehlmittelverluste (R134a/R32)</w:t>
            </w:r>
          </w:p>
        </w:tc>
        <w:tc>
          <w:tcPr>
            <w:tcW w:type="dxa" w:w="2880"/>
          </w:tcPr>
          <w:p>
            <w:r>
              <w:t xml:space="preserve">  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Strom (Marktbezug, Standardmix)</w:t>
            </w:r>
          </w:p>
        </w:tc>
        <w:tc>
          <w:tcPr>
            <w:tcW w:type="dxa" w:w="2880"/>
          </w:tcPr>
          <w:p>
            <w:r>
              <w:t>412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Strom (Marktbezug, Greenpower-Anteil 35 %)</w:t>
            </w:r>
          </w:p>
        </w:tc>
        <w:tc>
          <w:tcPr>
            <w:tcW w:type="dxa" w:w="2880"/>
          </w:tcPr>
          <w:p>
            <w:r>
              <w:t>-144 (gutgeschrieben)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Geschaeftsreisen, Vorprodukte (Hot-Spots)</w:t>
            </w:r>
          </w:p>
        </w:tc>
        <w:tc>
          <w:tcPr>
            <w:tcW w:type="dxa" w:w="2880"/>
          </w:tcPr>
          <w:p>
            <w:r>
              <w:t>1.580 (geschaetzt)</w:t>
            </w:r>
          </w:p>
        </w:tc>
      </w:tr>
      <w:tr>
        <w:tc>
          <w:tcPr>
            <w:tcW w:type="dxa" w:w="2880"/>
          </w:tcPr>
          <w:p>
            <w:r>
              <w:t>Gesamt Scope 1+2 (location-based)</w:t>
            </w:r>
          </w:p>
        </w:tc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Methodik</w:t>
      </w:r>
    </w:p>
    <w:p>
      <w:r>
        <w:t>Datenerhebung durch Sandra Becker (CFO) und Markus Junker (Energiebeauftragter). Emissionsfaktoren GEMIS 5.0 / Defra 2023. Externe Plausibilisierung durch EnviCon GmbH (Koeln) im Q1/2024. Scope 3 wird in 2024 vertieft erhoben (PCF je Produkt).</w:t>
      </w:r>
    </w:p>
    <w:p>
      <w:pPr>
        <w:pStyle w:val="Heading3"/>
      </w:pPr>
      <w:r>
        <w:t>Reduktionsmassnahmen 2024</w:t>
      </w:r>
    </w:p>
    <w:p>
      <w:pPr>
        <w:pStyle w:val="ListBullet"/>
      </w:pPr>
      <w:r>
        <w:t>PV-Anlage Halle B Sued (350 kWp, Inbetriebnahme Q4/2024).</w:t>
      </w:r>
    </w:p>
    <w:p>
      <w:pPr>
        <w:pStyle w:val="ListBullet"/>
      </w:pPr>
      <w:r>
        <w:t>Wechsel auf zertifizierten Oekostrom (Standortzertifikat) zum 01.01.2025 geplant.</w:t>
      </w:r>
    </w:p>
    <w:p>
      <w:pPr>
        <w:pStyle w:val="ListBullet"/>
      </w:pPr>
      <w:r>
        <w:t>Umstellung Stapler-Fuhrpark auf Lithium-Ionen (4 von 8 in 2024).</w:t>
      </w:r>
    </w:p>
    <w:p>
      <w:pPr>
        <w:pStyle w:val="ListBullet"/>
      </w:pPr>
      <w:r>
        <w:t>Dienstwagen-Richtlinie: Neuzugaenge ab 04/2024 nur noch BEV/PHEV (CO2 &lt; 50 g/km).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