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Datenschutz-Folgenabschaetzung (DSFA) CRM-System 2024</w:t>
      </w:r>
    </w:p>
    <w:p/>
    <w:p>
      <w:pPr>
        <w:pStyle w:val="Heading3"/>
      </w:pPr>
      <w:r>
        <w:t>Zweck und Geltungsbereich</w:t>
      </w:r>
    </w:p>
    <w:p>
      <w:r>
        <w:t>Die DSFA gemaess Art. 35 DSGVO wurde fuer den Einsatz des CRM-Systems Salesforce Sales Cloud + Service Cloud bei der Halbreiter Maschinenbau GmbH erstellt, da personenbezogene Daten von Ansprechpartnern, Interessenten und Servicekontakten in betraechtlichem Umfang verarbeitet werden.</w:t>
      </w:r>
    </w:p>
    <w:p>
      <w:pPr>
        <w:pStyle w:val="Heading3"/>
      </w:pPr>
      <w:r>
        <w:t>Verarbeitungsuebersicht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Datenkategorien</w:t>
            </w:r>
          </w:p>
        </w:tc>
      </w:tr>
      <w:tr>
        <w:tc>
          <w:tcPr>
            <w:tcW w:type="dxa" w:w="4320"/>
          </w:tcPr>
          <w:p>
            <w:r>
              <w:t>Lead-/Kontaktdaten</w:t>
            </w:r>
          </w:p>
        </w:tc>
        <w:tc>
          <w:tcPr>
            <w:tcW w:type="dxa" w:w="4320"/>
          </w:tcPr>
          <w:p>
            <w:r>
              <w:t>Name, Position, Telefon, E-Mail, Unternehmen</w:t>
            </w:r>
          </w:p>
        </w:tc>
      </w:tr>
      <w:tr>
        <w:tc>
          <w:tcPr>
            <w:tcW w:type="dxa" w:w="4320"/>
          </w:tcPr>
          <w:p>
            <w:r>
              <w:t>Vertriebsaktivitaeten</w:t>
            </w:r>
          </w:p>
        </w:tc>
        <w:tc>
          <w:tcPr>
            <w:tcW w:type="dxa" w:w="4320"/>
          </w:tcPr>
          <w:p>
            <w:r>
              <w:t>Notizen, Angebote, E-Mail-Korrespondenz</w:t>
            </w:r>
          </w:p>
        </w:tc>
      </w:tr>
      <w:tr>
        <w:tc>
          <w:tcPr>
            <w:tcW w:type="dxa" w:w="4320"/>
          </w:tcPr>
          <w:p>
            <w:r>
              <w:t>Servicefaelle</w:t>
            </w:r>
          </w:p>
        </w:tc>
        <w:tc>
          <w:tcPr>
            <w:tcW w:type="dxa" w:w="4320"/>
          </w:tcPr>
          <w:p>
            <w:r>
              <w:t>Reklamationsbeschreibung, ggf. Foto-/Anlagedaten</w:t>
            </w:r>
          </w:p>
        </w:tc>
      </w:tr>
      <w:tr>
        <w:tc>
          <w:tcPr>
            <w:tcW w:type="dxa" w:w="4320"/>
          </w:tcPr>
          <w:p>
            <w:r>
              <w:t>Marketingautomation</w:t>
            </w:r>
          </w:p>
        </w:tc>
        <w:tc>
          <w:tcPr>
            <w:tcW w:type="dxa" w:w="4320"/>
          </w:tcPr>
          <w:p>
            <w:r>
              <w:t>Open Rates, Klicks (anonymisierbar)</w:t>
            </w:r>
          </w:p>
        </w:tc>
      </w:tr>
    </w:tbl>
    <w:p>
      <w:pPr>
        <w:pStyle w:val="Heading3"/>
      </w:pPr>
      <w:r>
        <w:t>Risikobewertung</w:t>
      </w:r>
    </w:p>
    <w:p>
      <w:pPr>
        <w:pStyle w:val="ListBullet"/>
      </w:pPr>
      <w:r>
        <w:t>Hauptrisiken: unbefugter Zugriff durch externe Angreifer; Berechtigungs-Sprawl intern.</w:t>
      </w:r>
    </w:p>
    <w:p>
      <w:pPr>
        <w:pStyle w:val="ListBullet"/>
      </w:pPr>
      <w:r>
        <w:t>Drittlandtransfer: Salesforce hat EU-Datenresidenz (Frankfurt) gewaehlt; SCC 2021 verfuegbar.</w:t>
      </w:r>
    </w:p>
    <w:p>
      <w:pPr>
        <w:pStyle w:val="ListBullet"/>
      </w:pPr>
      <w:r>
        <w:t>Profilbildung Marketing wird nur fuer Newsletter-Empfaenger mit Einwilligung vorgenommen.</w:t>
      </w:r>
    </w:p>
    <w:p>
      <w:pPr>
        <w:pStyle w:val="ListBullet"/>
      </w:pPr>
      <w:r>
        <w:t>Risikoniveau gesamt: »mittel« nach Restrisikobewertung.</w:t>
      </w:r>
    </w:p>
    <w:p>
      <w:pPr>
        <w:pStyle w:val="Heading3"/>
      </w:pPr>
      <w:r>
        <w:t>Schutzmassnahmen</w:t>
      </w:r>
    </w:p>
    <w:p>
      <w:pPr>
        <w:pStyle w:val="ListBullet"/>
      </w:pPr>
      <w:r>
        <w:t>MFA-Pflicht fuer alle User (Salesforce + IdP Azure AD).</w:t>
      </w:r>
    </w:p>
    <w:p>
      <w:pPr>
        <w:pStyle w:val="ListBullet"/>
      </w:pPr>
      <w:r>
        <w:t>Rollen- und Berechtigungskonzept (Need-to-know), jaehrliche Rezertifizierung.</w:t>
      </w:r>
    </w:p>
    <w:p>
      <w:pPr>
        <w:pStyle w:val="ListBullet"/>
      </w:pPr>
      <w:r>
        <w:t>Audit-Log-Auswertung quartalsweise; Anomalie-Erkennung via Salesforce Shield.</w:t>
      </w:r>
    </w:p>
    <w:p>
      <w:pPr>
        <w:pStyle w:val="ListBullet"/>
      </w:pPr>
      <w:r>
        <w:t>Loeschkonzept: Inaktive Leads &gt; 24 Monate werden anonymisiert.</w:t>
      </w:r>
    </w:p>
    <w:p>
      <w:pPr>
        <w:pStyle w:val="Heading3"/>
      </w:pPr>
      <w:r>
        <w:t>Freigabe</w:t>
      </w:r>
    </w:p>
    <w:p>
      <w:r>
        <w:t>DSFA wurde am 18.02.2024 durch den DSB (Dr. Joerg Hilpert) abschliessend bewertet und durch die Geschaeftsfuehrung freigegeben. Re-Assessment alle 12 Monate bzw. anlassbezogen.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