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Energiemanagementsystem DIN EN ISO 50001 – Statusbericht</w:t>
      </w:r>
    </w:p>
    <w:p/>
    <w:p>
      <w:pPr>
        <w:pStyle w:val="Heading3"/>
      </w:pPr>
      <w:r>
        <w:t>Zweck und Geltungsbereich</w:t>
      </w:r>
    </w:p>
    <w:p>
      <w:r>
        <w:t>Statusbericht zum Energiemanagementsystem (EnMS) gemaess DIN EN ISO 50001:2018 fuer das Berichtsjahr 2023. Das EnMS wurde 2020 eingefuehrt und im November 2023 durch DEKRA Certification GmbH erfolgreich re-zertifiziert (Zertifikat gueltig bis 11/2026).</w:t>
      </w:r>
    </w:p>
    <w:p>
      <w:pPr>
        <w:pStyle w:val="Heading3"/>
      </w:pPr>
      <w:r>
        <w:t>Energiekennzahlen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Veraenderung</w:t>
            </w:r>
          </w:p>
        </w:tc>
      </w:tr>
      <w:tr>
        <w:tc>
          <w:tcPr>
            <w:tcW w:type="dxa" w:w="2160"/>
          </w:tcPr>
          <w:p>
            <w:r>
              <w:t>Stromverbrauch (MWh)</w:t>
            </w:r>
          </w:p>
        </w:tc>
        <w:tc>
          <w:tcPr>
            <w:tcW w:type="dxa" w:w="2160"/>
          </w:tcPr>
          <w:p>
            <w:r>
              <w:t>1.180</w:t>
            </w:r>
          </w:p>
        </w:tc>
        <w:tc>
          <w:tcPr>
            <w:tcW w:type="dxa" w:w="2160"/>
          </w:tcPr>
          <w:p>
            <w:r>
              <w:t>1.226</w:t>
            </w:r>
          </w:p>
        </w:tc>
        <w:tc>
          <w:tcPr>
            <w:tcW w:type="dxa" w:w="2160"/>
          </w:tcPr>
          <w:p>
            <w:r>
              <w:t>-3,8 %</w:t>
            </w:r>
          </w:p>
        </w:tc>
      </w:tr>
      <w:tr>
        <w:tc>
          <w:tcPr>
            <w:tcW w:type="dxa" w:w="2160"/>
          </w:tcPr>
          <w:p>
            <w:r>
              <w:t>Erdgasverbrauch (MWh)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-8,6 %</w:t>
            </w:r>
          </w:p>
        </w:tc>
      </w:tr>
      <w:tr>
        <w:tc>
          <w:tcPr>
            <w:tcW w:type="dxa" w:w="2160"/>
          </w:tcPr>
          <w:p>
            <w:r>
              <w:t>Energiekosten (TEUR)</w:t>
            </w:r>
          </w:p>
        </w:tc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-12,2 %</w:t>
            </w:r>
          </w:p>
        </w:tc>
      </w:tr>
      <w:tr>
        <w:tc>
          <w:tcPr>
            <w:tcW w:type="dxa" w:w="2160"/>
          </w:tcPr>
          <w:p>
            <w:r>
              <w:t>Energieintensitaet (kWh/EUR Umsatz)</w:t>
            </w:r>
          </w:p>
        </w:tc>
        <w:tc>
          <w:tcPr>
            <w:tcW w:type="dxa" w:w="2160"/>
          </w:tcPr>
          <w:p>
            <w:r>
              <w:t>0,040</w:t>
            </w:r>
          </w:p>
        </w:tc>
        <w:tc>
          <w:tcPr>
            <w:tcW w:type="dxa" w:w="2160"/>
          </w:tcPr>
          <w:p>
            <w:r>
              <w:t>0,046</w:t>
            </w:r>
          </w:p>
        </w:tc>
        <w:tc>
          <w:tcPr>
            <w:tcW w:type="dxa" w:w="2160"/>
          </w:tcPr>
          <w:p>
            <w:r>
              <w:t>-13,0 %</w:t>
            </w:r>
          </w:p>
        </w:tc>
      </w:tr>
    </w:tbl>
    <w:p>
      <w:pPr>
        <w:pStyle w:val="Heading3"/>
      </w:pPr>
      <w:r>
        <w:t>Massnahmen 2023</w:t>
      </w:r>
    </w:p>
    <w:p>
      <w:pPr>
        <w:pStyle w:val="ListBullet"/>
      </w:pPr>
      <w:r>
        <w:t>LED-Umruestung Halle A (Phase 2): -42 MWh/a.</w:t>
      </w:r>
    </w:p>
    <w:p>
      <w:pPr>
        <w:pStyle w:val="ListBullet"/>
      </w:pPr>
      <w:r>
        <w:t>Druckluft-Leckage-Programm: -28 MWh/a.</w:t>
      </w:r>
    </w:p>
    <w:p>
      <w:pPr>
        <w:pStyle w:val="ListBullet"/>
      </w:pPr>
      <w:r>
        <w:t>Optimierung Heizungssteuerung Verwaltungsgebaeude: -55 MWh/a.</w:t>
      </w:r>
    </w:p>
    <w:p>
      <w:pPr>
        <w:pStyle w:val="ListBullet"/>
      </w:pPr>
      <w:r>
        <w:t>Sensitive Aufklaerung Mitarbeiter ('Energie-Botschafter'-Programm).</w:t>
      </w:r>
    </w:p>
    <w:p>
      <w:pPr>
        <w:pStyle w:val="ListBullet"/>
      </w:pPr>
      <w:r>
        <w:t>Erstellung Spitzenlastmanagement-Konzept fuer 2024 (gemeinsam mit RWE).</w:t>
      </w:r>
    </w:p>
    <w:p>
      <w:pPr>
        <w:pStyle w:val="Heading3"/>
      </w:pPr>
      <w:r>
        <w:t>Naechste Schritte 2024</w:t>
      </w:r>
    </w:p>
    <w:p>
      <w:pPr>
        <w:pStyle w:val="ListBullet"/>
      </w:pPr>
      <w:r>
        <w:t>Inbetriebnahme PV-Anlage Halle B Sued (350 kWp, Q4/2024).</w:t>
      </w:r>
    </w:p>
    <w:p>
      <w:pPr>
        <w:pStyle w:val="ListBullet"/>
      </w:pPr>
      <w:r>
        <w:t>Wechsel auf zertifizierten Oekostrom zum 01.01.2025.</w:t>
      </w:r>
    </w:p>
    <w:p>
      <w:pPr>
        <w:pStyle w:val="ListBullet"/>
      </w:pPr>
      <w:r>
        <w:t>Internes ISO 50001-Audit Q3/2024 (Auditor: Markus Junker).</w:t>
      </w:r>
    </w:p>
    <w:p>
      <w:pPr>
        <w:pStyle w:val="Heading3"/>
      </w:pPr>
      <w:r>
        <w:t>Freigabe</w:t>
      </w:r>
    </w:p>
    <w:p>
      <w:r>
        <w:t>Statusbericht freigegeben durch Sandra Becker (CFO) am 22. Februar 2024. Verteiler: GF, Bereichsleiter, Betriebsrat. Naechste Aktualisierung: Q1/2025.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