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Exportkontrollbericht 2023</w:t>
      </w:r>
    </w:p>
    <w:p/>
    <w:p>
      <w:pPr>
        <w:pStyle w:val="Heading3"/>
      </w:pPr>
      <w:r>
        <w:t>Zweck und Geltungsbereich</w:t>
      </w:r>
    </w:p>
    <w:p>
      <w:r>
        <w:t>Dieser Bericht fasst die Tatigkeiten der Halbreiter Maschinenbau GmbH im Bereich Exportkontrolle fuer das Berichtsjahr 2023 zusammen. Grundlage sind insbesondere die AWG/AWV, die EU-Dual-Use-VO 2021/821 sowie die EU-Sanktionen gegen Russland und Belarus.</w:t>
      </w:r>
    </w:p>
    <w:p>
      <w:pPr>
        <w:pStyle w:val="Heading3"/>
      </w:pPr>
      <w:r>
        <w:t>Exportstatistik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Bestimmungsland</w:t>
            </w:r>
          </w:p>
        </w:tc>
        <w:tc>
          <w:tcPr>
            <w:tcW w:type="dxa" w:w="2160"/>
          </w:tcPr>
          <w:p>
            <w:r>
              <w:t>Anzahl Ausfuhren</w:t>
            </w:r>
          </w:p>
        </w:tc>
        <w:tc>
          <w:tcPr>
            <w:tcW w:type="dxa" w:w="2160"/>
          </w:tcPr>
          <w:p>
            <w:r>
              <w:t>Davon genehmigungspflichtig</w:t>
            </w:r>
          </w:p>
        </w:tc>
        <w:tc>
          <w:tcPr>
            <w:tcW w:type="dxa" w:w="2160"/>
          </w:tcPr>
          <w:p>
            <w:r>
              <w:t>Umsatzanteil</w:t>
            </w:r>
          </w:p>
        </w:tc>
      </w:tr>
      <w:tr>
        <w:tc>
          <w:tcPr>
            <w:tcW w:type="dxa" w:w="2160"/>
          </w:tcPr>
          <w:p>
            <w:r>
              <w:t>EU</w:t>
            </w:r>
          </w:p>
        </w:tc>
        <w:tc>
          <w:tcPr>
            <w:tcW w:type="dxa" w:w="2160"/>
          </w:tcPr>
          <w:p>
            <w:r>
              <w:t>184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62 %</w:t>
            </w:r>
          </w:p>
        </w:tc>
      </w:tr>
      <w:tr>
        <w:tc>
          <w:tcPr>
            <w:tcW w:type="dxa" w:w="2160"/>
          </w:tcPr>
          <w:p>
            <w:r>
              <w:t>UK, CH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8 %</w:t>
            </w:r>
          </w:p>
        </w:tc>
      </w:tr>
      <w:tr>
        <w:tc>
          <w:tcPr>
            <w:tcW w:type="dxa" w:w="2160"/>
          </w:tcPr>
          <w:p>
            <w:r>
              <w:t>USA, KANADA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6 %</w:t>
            </w:r>
          </w:p>
        </w:tc>
      </w:tr>
      <w:tr>
        <w:tc>
          <w:tcPr>
            <w:tcW w:type="dxa" w:w="2160"/>
          </w:tcPr>
          <w:p>
            <w:r>
              <w:t>Asien (CN, JP, KR)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16 %</w:t>
            </w:r>
          </w:p>
        </w:tc>
      </w:tr>
      <w:tr>
        <w:tc>
          <w:tcPr>
            <w:tcW w:type="dxa" w:w="2160"/>
          </w:tcPr>
          <w:p>
            <w:r>
              <w:t>Mittlerer Osten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4 %</w:t>
            </w:r>
          </w:p>
        </w:tc>
      </w:tr>
      <w:tr>
        <w:tc>
          <w:tcPr>
            <w:tcW w:type="dxa" w:w="2160"/>
          </w:tcPr>
          <w:p>
            <w:r>
              <w:t>Sonstige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4 %</w:t>
            </w:r>
          </w:p>
        </w:tc>
      </w:tr>
    </w:tbl>
    <w:p>
      <w:pPr>
        <w:pStyle w:val="Heading3"/>
      </w:pPr>
      <w:r>
        <w:t>Genehmigungen</w:t>
      </w:r>
    </w:p>
    <w:p>
      <w:pPr>
        <w:pStyle w:val="ListBullet"/>
      </w:pPr>
      <w:r>
        <w:t>BAFA-Einzelgenehmigung CN: 12 Vorgaenge (PL-500 + Software), ECCN 2B999 / 2D993.</w:t>
      </w:r>
    </w:p>
    <w:p>
      <w:pPr>
        <w:pStyle w:val="ListBullet"/>
      </w:pPr>
      <w:r>
        <w:t>BAFA Sammelgenehmigung Saudi-Arabien: 3 Vorgaenge (FB-200), Pruefung Endverwendungserklaerung.</w:t>
      </w:r>
    </w:p>
    <w:p>
      <w:pPr>
        <w:pStyle w:val="ListBullet"/>
      </w:pPr>
      <w:r>
        <w:t>Antrag Indien: 1 Vorgang in Bearbeitung (Bescheidung erwartet Q1/2024).</w:t>
      </w:r>
    </w:p>
    <w:p>
      <w:pPr>
        <w:pStyle w:val="Heading3"/>
      </w:pPr>
      <w:r>
        <w:t>Sanktionspruefung</w:t>
      </w:r>
    </w:p>
    <w:p>
      <w:r>
        <w:t>Saemtliche Geschaeftspartner werden ueber das Compliance-Tool »MK Denial«-Pruefung gegen die EU-Sanktionslisten (CFSP), die US-OFAC SDN-Liste und die UK-Konsolidierte Liste abgeglichen. 2023 wurden 4 potentielle Treffer manuell geklaert; 1 Geschaeftsanbahnung in Belarus wurde abgebrochen (Sanktionsbetroffenheit).</w:t>
      </w:r>
    </w:p>
    <w:p>
      <w:pPr>
        <w:pStyle w:val="Heading3"/>
      </w:pPr>
      <w:r>
        <w:t>Schulung und Audit</w:t>
      </w:r>
    </w:p>
    <w:p>
      <w:r>
        <w:t>Exportkontrollbeauftragter Holger Brinkmann; Stellvertretung Anja Lenz. Jaehrliches BAFA-AEO-Refresher-Training durchgefuehrt. Naechstes internes Audit Q2/2024.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