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Foerderantrag BMWi – Pressenmaschinen 4.0 Edge-KI</w:t>
      </w:r>
    </w:p>
    <w:p/>
    <w:p>
      <w:pPr>
        <w:pStyle w:val="Heading3"/>
      </w:pPr>
      <w:r>
        <w:t>Zweck und Geltungsbereich</w:t>
      </w:r>
    </w:p>
    <w:p>
      <w:r>
        <w:t>Antrag auf Foerderung im Rahmen der ZIM-Foerderlinie »Innovation und Mittelstand« des BMWK (vormals BMWi) fuer das FuE-Projekt »Pressenmaschinen 4.0 – Edge-KI fuer adaptive Prozesssteuerung«.</w:t>
      </w:r>
    </w:p>
    <w:p>
      <w:pPr>
        <w:pStyle w:val="Heading3"/>
      </w:pPr>
      <w:r>
        <w:t>Eckdaten Antrag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Halbreiter Maschinenbau GmbH</w:t>
            </w:r>
          </w:p>
        </w:tc>
      </w:tr>
      <w:tr>
        <w:tc>
          <w:tcPr>
            <w:tcW w:type="dxa" w:w="4320"/>
          </w:tcPr>
          <w:p>
            <w:r>
              <w:t>Foerderlinie</w:t>
            </w:r>
          </w:p>
        </w:tc>
        <w:tc>
          <w:tcPr>
            <w:tcW w:type="dxa" w:w="4320"/>
          </w:tcPr>
          <w:p>
            <w:r>
              <w:t>ZIM (Zentrales Innovationsprogramm Mittelstand)</w:t>
            </w:r>
          </w:p>
        </w:tc>
      </w:tr>
      <w:tr>
        <w:tc>
          <w:tcPr>
            <w:tcW w:type="dxa" w:w="4320"/>
          </w:tcPr>
          <w:p>
            <w:r>
              <w:t>Projektpartner</w:t>
            </w:r>
          </w:p>
        </w:tc>
        <w:tc>
          <w:tcPr>
            <w:tcW w:type="dxa" w:w="4320"/>
          </w:tcPr>
          <w:p>
            <w:r>
              <w:t>RWTH Aachen (Lehrstuhl PtU); ifak Magdeburg</w:t>
            </w:r>
          </w:p>
        </w:tc>
      </w:tr>
      <w:tr>
        <w:tc>
          <w:tcPr>
            <w:tcW w:type="dxa" w:w="4320"/>
          </w:tcPr>
          <w:p>
            <w:r>
              <w:t>Projektlaufzeit</w:t>
            </w:r>
          </w:p>
        </w:tc>
        <w:tc>
          <w:tcPr>
            <w:tcW w:type="dxa" w:w="4320"/>
          </w:tcPr>
          <w:p>
            <w:r>
              <w:t>01.07.2024 – 30.06.2027 (36 Monate)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14.02.2024</w:t>
            </w:r>
          </w:p>
        </w:tc>
      </w:tr>
      <w:tr>
        <w:tc>
          <w:tcPr>
            <w:tcW w:type="dxa" w:w="4320"/>
          </w:tcPr>
          <w:p>
            <w:r>
              <w:t>Aktenzeichen</w:t>
            </w:r>
          </w:p>
        </w:tc>
        <w:tc>
          <w:tcPr>
            <w:tcW w:type="dxa" w:w="4320"/>
          </w:tcPr>
          <w:p>
            <w:r>
              <w:t>ZIM-KK1418042KS4</w:t>
            </w:r>
          </w:p>
        </w:tc>
      </w:tr>
    </w:tbl>
    <w:p>
      <w:pPr>
        <w:pStyle w:val="Heading3"/>
      </w:pPr>
      <w:r>
        <w:t>Projektzusammenfassung</w:t>
      </w:r>
    </w:p>
    <w:p>
      <w:r>
        <w:t>Ziel des Vorhabens ist die Entwicklung einer Edge-KI-Loesung zur adaptiven Prozesssteuerung von hydraulischen Pressen unter Beruecksichtigung von Werkzeug- und Werkstoffvarianzen. Im Ergebnis sollen Ausschussraten um &gt; 30 % reduziert und Energieverbrauch um &gt; 10 % gesenkt werden.</w:t>
      </w:r>
    </w:p>
    <w:p>
      <w:pPr>
        <w:pStyle w:val="Heading3"/>
      </w:pPr>
      <w:r>
        <w:t>Aufwand und Foerderbedarf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(TEUR)</w:t>
            </w:r>
          </w:p>
        </w:tc>
        <w:tc>
          <w:tcPr>
            <w:tcW w:type="dxa" w:w="2880"/>
          </w:tcPr>
          <w:p>
            <w:r>
              <w:t>Foerderquote</w:t>
            </w:r>
          </w:p>
        </w:tc>
      </w:tr>
      <w:tr>
        <w:tc>
          <w:tcPr>
            <w:tcW w:type="dxa" w:w="2880"/>
          </w:tcPr>
          <w:p>
            <w:r>
              <w:t>Personal MMB</w:t>
            </w:r>
          </w:p>
        </w:tc>
        <w:tc>
          <w:tcPr>
            <w:tcW w:type="dxa" w:w="2880"/>
          </w:tcPr>
          <w:p>
            <w:r>
              <w:t>1.420</w:t>
            </w:r>
          </w:p>
        </w:tc>
        <w:tc>
          <w:tcPr>
            <w:tcW w:type="dxa" w:w="2880"/>
          </w:tcPr>
          <w:p>
            <w:r>
              <w:t>45 %</w:t>
            </w:r>
          </w:p>
        </w:tc>
      </w:tr>
      <w:tr>
        <w:tc>
          <w:tcPr>
            <w:tcW w:type="dxa" w:w="2880"/>
          </w:tcPr>
          <w:p>
            <w:r>
              <w:t>Sachmittel MMB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45 %</w:t>
            </w:r>
          </w:p>
        </w:tc>
      </w:tr>
      <w:tr>
        <w:tc>
          <w:tcPr>
            <w:tcW w:type="dxa" w:w="2880"/>
          </w:tcPr>
          <w:p>
            <w:r>
              <w:t>Vergaben RWTH (UA)</w:t>
            </w:r>
          </w:p>
        </w:tc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Vergaben ifak (UA)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Gesamtvolumen</w:t>
            </w:r>
          </w:p>
        </w:tc>
        <w:tc>
          <w:tcPr>
            <w:tcW w:type="dxa" w:w="2880"/>
          </w:tcPr>
          <w:p>
            <w:r>
              <w:t>2.540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Bewilligungsperspektive</w:t>
      </w:r>
    </w:p>
    <w:p>
      <w:r>
        <w:t>Projekttraeger AiF/PtKa; Voraussetzung positive Bewertung durch externen Gutachter. Erste Rueckmeldung erwartet bis 06/2024.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