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Forschungs- und Entwicklungsbericht 2023</w:t>
      </w:r>
    </w:p>
    <w:p/>
    <w:p>
      <w:pPr>
        <w:pStyle w:val="Heading3"/>
      </w:pPr>
      <w:r>
        <w:t>Zweck und Geltungsbereich</w:t>
      </w:r>
    </w:p>
    <w:p>
      <w:r>
        <w:t>Dieser Bericht fasst die wesentlichen FuE-Aktivitaeten der Halbreiter Maschinenbau GmbH im Geschaeftsjahr 2023 zusammen. FuE-Quote (FuE-Ausgaben / Umsatz): 6,4 % (Vorjahr 5,9 %).</w:t>
      </w:r>
    </w:p>
    <w:p>
      <w:pPr>
        <w:pStyle w:val="Heading3"/>
      </w:pPr>
      <w:r>
        <w:t>Kennzahlen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Merkmal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2022</w:t>
            </w:r>
          </w:p>
        </w:tc>
      </w:tr>
      <w:tr>
        <w:tc>
          <w:tcPr>
            <w:tcW w:type="dxa" w:w="2880"/>
          </w:tcPr>
          <w:p>
            <w:r>
              <w:t>FuE-Ausgaben (TEUR)</w:t>
            </w:r>
          </w:p>
        </w:tc>
        <w:tc>
          <w:tcPr>
            <w:tcW w:type="dxa" w:w="2880"/>
          </w:tcPr>
          <w:p>
            <w:r>
              <w:t>3.110</w:t>
            </w:r>
          </w:p>
        </w:tc>
        <w:tc>
          <w:tcPr>
            <w:tcW w:type="dxa" w:w="2880"/>
          </w:tcPr>
          <w:p>
            <w:r>
              <w:t>2.620</w:t>
            </w:r>
          </w:p>
        </w:tc>
      </w:tr>
      <w:tr>
        <w:tc>
          <w:tcPr>
            <w:tcW w:type="dxa" w:w="2880"/>
          </w:tcPr>
          <w:p>
            <w:r>
              <w:t>FuE-Personal (FTE)</w:t>
            </w:r>
          </w:p>
        </w:tc>
        <w:tc>
          <w:tcPr>
            <w:tcW w:type="dxa" w:w="2880"/>
          </w:tcPr>
          <w:p>
            <w:r>
              <w:t xml:space="preserve">  21</w:t>
            </w:r>
          </w:p>
        </w:tc>
        <w:tc>
          <w:tcPr>
            <w:tcW w:type="dxa" w:w="2880"/>
          </w:tcPr>
          <w:p>
            <w:r>
              <w:t xml:space="preserve">  18</w:t>
            </w:r>
          </w:p>
        </w:tc>
      </w:tr>
      <w:tr>
        <w:tc>
          <w:tcPr>
            <w:tcW w:type="dxa" w:w="2880"/>
          </w:tcPr>
          <w:p>
            <w:r>
              <w:t>Schutzrechtsanmeldungen</w:t>
            </w:r>
          </w:p>
        </w:tc>
        <w:tc>
          <w:tcPr>
            <w:tcW w:type="dxa" w:w="2880"/>
          </w:tcPr>
          <w:p>
            <w:r>
              <w:t xml:space="preserve">   2</w:t>
            </w:r>
          </w:p>
        </w:tc>
        <w:tc>
          <w:tcPr>
            <w:tcW w:type="dxa" w:w="2880"/>
          </w:tcPr>
          <w:p>
            <w:r>
              <w:t xml:space="preserve">   1</w:t>
            </w:r>
          </w:p>
        </w:tc>
      </w:tr>
      <w:tr>
        <w:tc>
          <w:tcPr>
            <w:tcW w:type="dxa" w:w="2880"/>
          </w:tcPr>
          <w:p>
            <w:r>
              <w:t>Aktive Schutzrechte</w:t>
            </w:r>
          </w:p>
        </w:tc>
        <w:tc>
          <w:tcPr>
            <w:tcW w:type="dxa" w:w="2880"/>
          </w:tcPr>
          <w:p>
            <w:r>
              <w:t xml:space="preserve">  14</w:t>
            </w:r>
          </w:p>
        </w:tc>
        <w:tc>
          <w:tcPr>
            <w:tcW w:type="dxa" w:w="2880"/>
          </w:tcPr>
          <w:p>
            <w:r>
              <w:t xml:space="preserve">  13</w:t>
            </w:r>
          </w:p>
        </w:tc>
      </w:tr>
      <w:tr>
        <w:tc>
          <w:tcPr>
            <w:tcW w:type="dxa" w:w="2880"/>
          </w:tcPr>
          <w:p>
            <w:r>
              <w:t>KFW/BAFA-Foerderung erhalten</w:t>
            </w:r>
          </w:p>
        </w:tc>
        <w:tc>
          <w:tcPr>
            <w:tcW w:type="dxa" w:w="2880"/>
          </w:tcPr>
          <w:p>
            <w:r>
              <w:t xml:space="preserve">  342</w:t>
            </w:r>
          </w:p>
        </w:tc>
        <w:tc>
          <w:tcPr>
            <w:tcW w:type="dxa" w:w="2880"/>
          </w:tcPr>
          <w:p>
            <w:r>
              <w:t xml:space="preserve">  280</w:t>
            </w:r>
          </w:p>
        </w:tc>
      </w:tr>
    </w:tbl>
    <w:p>
      <w:pPr>
        <w:pStyle w:val="Heading3"/>
      </w:pPr>
      <w:r>
        <w:t>Schwerpunkte 2023</w:t>
      </w:r>
    </w:p>
    <w:p>
      <w:pPr>
        <w:pStyle w:val="ListBullet"/>
      </w:pPr>
      <w:r>
        <w:t>PL-500 Rev. 3: Integration KI-Modul »Adaptive Process Control« (mit RWTH Aachen).</w:t>
      </w:r>
    </w:p>
    <w:p>
      <w:pPr>
        <w:pStyle w:val="ListBullet"/>
      </w:pPr>
      <w:r>
        <w:t>FB-200: Modular-Erweiterung Schwenkmodul, Markteinfuehrung Q1/2024.</w:t>
      </w:r>
    </w:p>
    <w:p>
      <w:pPr>
        <w:pStyle w:val="ListBullet"/>
      </w:pPr>
      <w:r>
        <w:t>MR-150: Vorbereitung Kollaborationsroboter-Konfiguration mit Onrobot-Greifer (TS 2025).</w:t>
      </w:r>
    </w:p>
    <w:p>
      <w:pPr>
        <w:pStyle w:val="ListBullet"/>
      </w:pPr>
      <w:r>
        <w:t>Neue Pruefumgebung: Aufbau Software-in-the-Loop (SIL) Stand fuer Maschinenfirmware.</w:t>
      </w:r>
    </w:p>
    <w:p>
      <w:pPr>
        <w:pStyle w:val="Heading3"/>
      </w:pPr>
      <w:r>
        <w:t>Geplante Schritte 2024</w:t>
      </w:r>
    </w:p>
    <w:p>
      <w:pPr>
        <w:pStyle w:val="ListBullet"/>
      </w:pPr>
      <w:r>
        <w:t>Foerderantrag »Pressenmaschinen 4.0« (ZIM, mit RWTH und ifak).</w:t>
      </w:r>
    </w:p>
    <w:p>
      <w:pPr>
        <w:pStyle w:val="ListBullet"/>
      </w:pPr>
      <w:r>
        <w:t>Anmeldung eines Patentes »Adaptive Pressenwerkzeug-Erkennung« (Boehmert &amp; Boehmert).</w:t>
      </w:r>
    </w:p>
    <w:p>
      <w:pPr>
        <w:pStyle w:val="ListBullet"/>
      </w:pPr>
      <w:r>
        <w:t>Aufbau MMB-IoT-Cloud-Pilot fuer Predictive Maintenance bei A-Kunden.</w:t>
      </w:r>
    </w:p>
    <w:p>
      <w:pPr>
        <w:pStyle w:val="Heading3"/>
      </w:pPr>
      <w:r>
        <w:t>Freigabe</w:t>
      </w:r>
    </w:p>
    <w:p>
      <w:r>
        <w:t>Bericht freigegeben durch Dr.-Ing. Sabine Hoff (Leitung Konstruktion) und Klaus Mueller (CEO) am 12. Februar 2024.</w:t>
      </w:r>
    </w:p>
    <w:p>
      <w:pPr>
        <w:pStyle w:val="Heading3"/>
      </w:pPr>
      <w:r>
        <w:t>Dokumentstatus und Pflege</w:t>
      </w:r>
    </w:p>
    <w:p>
      <w:r>
        <w:t>Klassifizierung: »intern – vertraulich«. Dieses Dokument ist Bestandteil des Compliance-Management-Systems (CMS) der Halbreiter Maschinenbau GmbH gemaess der Verfahrensanweisung VA-COMP-001 (Rev. 4). Verantwortlich fuer die Pflege ist Anja Lenz (Compliance-Stelle) in Abstimmung mit Sandra Becker (CFO). Eine Aktualisierung erfolgt mindestens jaehrlich sowie anlassbezogen bei wesentlichen Aenderungen der Rechtslage, der Organisation oder der Geschaeftsprozesse. Verteiler: Geschaeftsfuehrung, Bereichsleiter Compliance, Bereichsleiter QM, Betriebsrat. Archivierung erfolgt revisionssicher im DMS (M-Files) gemaess Aufbewahrungsfristenkatalog der Halbreiter Maschinenbau GmbH (Standardfrist 10 Jahre, soweit nicht laenger gesetzlich vorgeschrieben). Bei Fragen zu Inhalt oder Anwendbarkeit dieses Dokumentes wenden Sie sich an compliance@halbreiter-maschinenbau.de oder an die zustaendige Bereichsleitung.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